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F8" w:rsidRPr="00F77C0B" w:rsidRDefault="00AB15F8" w:rsidP="00AB15F8">
      <w:proofErr w:type="gramStart"/>
      <w:r w:rsidRPr="00F77C0B">
        <w:t xml:space="preserve">Table </w:t>
      </w:r>
      <w:r>
        <w:t>8</w:t>
      </w:r>
      <w:r w:rsidRPr="00F77C0B">
        <w:t>.</w:t>
      </w:r>
      <w:proofErr w:type="gramEnd"/>
      <w:r w:rsidRPr="00F77C0B">
        <w:t xml:space="preserve"> </w:t>
      </w:r>
      <w:r>
        <w:t>Evaluation of plant spacing for reducing bacterial bulb decay in small-scale fresh market yellow onions (cv. Nebula), Interlaken, NY 2009: net economic return.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540"/>
        <w:gridCol w:w="810"/>
        <w:gridCol w:w="720"/>
        <w:gridCol w:w="990"/>
        <w:gridCol w:w="810"/>
        <w:gridCol w:w="810"/>
        <w:gridCol w:w="848"/>
        <w:gridCol w:w="924"/>
        <w:gridCol w:w="1198"/>
        <w:gridCol w:w="1080"/>
        <w:gridCol w:w="900"/>
        <w:gridCol w:w="1250"/>
        <w:gridCol w:w="1018"/>
      </w:tblGrid>
      <w:tr w:rsidR="00AB15F8" w:rsidTr="004070E8">
        <w:tc>
          <w:tcPr>
            <w:tcW w:w="13176" w:type="dxa"/>
            <w:gridSpan w:val="14"/>
            <w:tcBorders>
              <w:top w:val="thinThickSmallGap" w:sz="12" w:space="0" w:color="auto"/>
              <w:left w:val="nil"/>
              <w:bottom w:val="nil"/>
              <w:right w:val="nil"/>
            </w:tcBorders>
          </w:tcPr>
          <w:p w:rsidR="00AB15F8" w:rsidRDefault="00AB15F8" w:rsidP="004070E8">
            <w:r w:rsidRPr="00C558F1">
              <w:rPr>
                <w:b/>
                <w:i/>
              </w:rPr>
              <w:t>At harvest, per 100 feet of bed:</w:t>
            </w:r>
          </w:p>
        </w:tc>
      </w:tr>
      <w:tr w:rsidR="00AB15F8" w:rsidTr="004070E8">
        <w:tc>
          <w:tcPr>
            <w:tcW w:w="334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u w:val="single"/>
              </w:rPr>
            </w:pPr>
            <w:r w:rsidRPr="00C558F1">
              <w:rPr>
                <w:b/>
                <w:u w:val="single"/>
              </w:rPr>
              <w:t>Plant Spacing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sz w:val="22"/>
                <w:szCs w:val="22"/>
              </w:rPr>
            </w:pPr>
            <w:r w:rsidRPr="00C558F1">
              <w:rPr>
                <w:b/>
                <w:sz w:val="22"/>
                <w:szCs w:val="22"/>
              </w:rPr>
              <w:t>% bacterial bulb decay (by weight)</w:t>
            </w:r>
          </w:p>
        </w:tc>
        <w:tc>
          <w:tcPr>
            <w:tcW w:w="567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u w:val="single"/>
              </w:rPr>
            </w:pPr>
            <w:r w:rsidRPr="00C558F1">
              <w:rPr>
                <w:b/>
                <w:u w:val="single"/>
              </w:rPr>
              <w:t>Variable Pricing</w:t>
            </w:r>
            <w:r w:rsidRPr="00C558F1">
              <w:rPr>
                <w:b/>
                <w:u w:val="single"/>
                <w:vertAlign w:val="superscript"/>
              </w:rPr>
              <w:t>1</w:t>
            </w:r>
          </w:p>
        </w:tc>
        <w:tc>
          <w:tcPr>
            <w:tcW w:w="316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u w:val="single"/>
              </w:rPr>
            </w:pPr>
            <w:r w:rsidRPr="00C558F1">
              <w:rPr>
                <w:b/>
                <w:u w:val="single"/>
              </w:rPr>
              <w:t>Uniform Pricing</w:t>
            </w:r>
            <w:r w:rsidRPr="00C558F1">
              <w:rPr>
                <w:b/>
                <w:u w:val="single"/>
                <w:vertAlign w:val="superscript"/>
              </w:rPr>
              <w:t>2</w:t>
            </w:r>
          </w:p>
        </w:tc>
      </w:tr>
      <w:tr w:rsidR="00AB15F8" w:rsidTr="004070E8">
        <w:tc>
          <w:tcPr>
            <w:tcW w:w="127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sz w:val="22"/>
                <w:szCs w:val="22"/>
              </w:rPr>
            </w:pPr>
            <w:r w:rsidRPr="00C558F1">
              <w:rPr>
                <w:b/>
                <w:sz w:val="22"/>
                <w:szCs w:val="22"/>
              </w:rPr>
              <w:t>Planting density (inch</w:t>
            </w:r>
            <w:r w:rsidRPr="00C558F1">
              <w:rPr>
                <w:b/>
                <w:sz w:val="22"/>
                <w:szCs w:val="22"/>
                <w:vertAlign w:val="superscript"/>
              </w:rPr>
              <w:t xml:space="preserve">2 </w:t>
            </w:r>
            <w:r w:rsidRPr="00C558F1">
              <w:rPr>
                <w:b/>
                <w:sz w:val="22"/>
                <w:szCs w:val="22"/>
              </w:rPr>
              <w:t>/bulb)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sz w:val="22"/>
                <w:szCs w:val="22"/>
              </w:rPr>
            </w:pPr>
            <w:r w:rsidRPr="00C558F1">
              <w:rPr>
                <w:b/>
                <w:sz w:val="22"/>
                <w:szCs w:val="22"/>
              </w:rPr>
              <w:t>No. rows /bed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sz w:val="22"/>
                <w:szCs w:val="22"/>
              </w:rPr>
            </w:pPr>
            <w:r w:rsidRPr="00C558F1">
              <w:rPr>
                <w:b/>
                <w:sz w:val="22"/>
                <w:szCs w:val="22"/>
              </w:rPr>
              <w:t>Plant spacing (inch)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sz w:val="22"/>
                <w:szCs w:val="22"/>
              </w:rPr>
            </w:pPr>
            <w:r w:rsidRPr="00C558F1">
              <w:rPr>
                <w:b/>
                <w:sz w:val="22"/>
                <w:szCs w:val="22"/>
              </w:rPr>
              <w:t>No. plants</w:t>
            </w:r>
          </w:p>
        </w:tc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sz w:val="22"/>
                <w:szCs w:val="22"/>
              </w:rPr>
            </w:pPr>
            <w:r w:rsidRPr="00C558F1">
              <w:rPr>
                <w:b/>
                <w:sz w:val="22"/>
                <w:szCs w:val="22"/>
              </w:rPr>
              <w:t>Small $0.20/lb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sz w:val="22"/>
                <w:szCs w:val="22"/>
              </w:rPr>
            </w:pPr>
            <w:r w:rsidRPr="00C558F1">
              <w:rPr>
                <w:b/>
                <w:sz w:val="22"/>
                <w:szCs w:val="22"/>
              </w:rPr>
              <w:t>Med $0.40/lb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sz w:val="22"/>
                <w:szCs w:val="22"/>
              </w:rPr>
            </w:pPr>
            <w:r w:rsidRPr="00C558F1">
              <w:rPr>
                <w:b/>
                <w:sz w:val="22"/>
                <w:szCs w:val="22"/>
              </w:rPr>
              <w:t>Jumbo $0.50/lb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sz w:val="22"/>
                <w:szCs w:val="22"/>
              </w:rPr>
            </w:pPr>
            <w:r w:rsidRPr="00C558F1">
              <w:rPr>
                <w:b/>
                <w:sz w:val="22"/>
                <w:szCs w:val="22"/>
              </w:rPr>
              <w:t>Colossal $0.55/lb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sz w:val="22"/>
                <w:szCs w:val="22"/>
              </w:rPr>
            </w:pPr>
            <w:r w:rsidRPr="00C558F1">
              <w:rPr>
                <w:b/>
                <w:sz w:val="22"/>
                <w:szCs w:val="22"/>
              </w:rPr>
              <w:t>Cost of transplants</w:t>
            </w:r>
            <w:r w:rsidRPr="00C558F1">
              <w:rPr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sz w:val="22"/>
                <w:szCs w:val="22"/>
              </w:rPr>
            </w:pPr>
            <w:r w:rsidRPr="00C558F1">
              <w:rPr>
                <w:b/>
                <w:sz w:val="22"/>
                <w:szCs w:val="22"/>
              </w:rPr>
              <w:t>Net economic return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sz w:val="22"/>
                <w:szCs w:val="22"/>
              </w:rPr>
            </w:pPr>
            <w:r w:rsidRPr="00C558F1">
              <w:rPr>
                <w:b/>
                <w:sz w:val="22"/>
                <w:szCs w:val="22"/>
              </w:rPr>
              <w:t>Gross $0.90/lb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sz w:val="22"/>
                <w:szCs w:val="22"/>
              </w:rPr>
            </w:pPr>
            <w:r w:rsidRPr="00C558F1">
              <w:rPr>
                <w:b/>
                <w:sz w:val="22"/>
                <w:szCs w:val="22"/>
              </w:rPr>
              <w:t>Cost of transplants</w:t>
            </w:r>
            <w:r w:rsidRPr="00C558F1">
              <w:rPr>
                <w:b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jc w:val="center"/>
              <w:rPr>
                <w:b/>
                <w:sz w:val="22"/>
                <w:szCs w:val="22"/>
              </w:rPr>
            </w:pPr>
            <w:r w:rsidRPr="00C558F1">
              <w:rPr>
                <w:b/>
                <w:sz w:val="22"/>
                <w:szCs w:val="22"/>
              </w:rPr>
              <w:t>Net economic return</w:t>
            </w:r>
          </w:p>
        </w:tc>
      </w:tr>
      <w:tr w:rsidR="00AB15F8" w:rsidTr="004070E8">
        <w:trPr>
          <w:trHeight w:val="317"/>
        </w:trPr>
        <w:tc>
          <w:tcPr>
            <w:tcW w:w="127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24 inch</w:t>
            </w:r>
            <w:r w:rsidRPr="00C558F1">
              <w:rPr>
                <w:vertAlign w:val="superscript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4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4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1200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13.3 b</w:t>
            </w:r>
            <w:r w:rsidRPr="00C558F1">
              <w:rPr>
                <w:vertAlign w:val="superscript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$2.00</w:t>
            </w: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$14.40</w:t>
            </w:r>
          </w:p>
        </w:tc>
        <w:tc>
          <w:tcPr>
            <w:tcW w:w="84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$165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$71.50</w:t>
            </w: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$24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$229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$459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$40.50</w:t>
            </w:r>
          </w:p>
        </w:tc>
        <w:tc>
          <w:tcPr>
            <w:tcW w:w="101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$419</w:t>
            </w:r>
          </w:p>
        </w:tc>
      </w:tr>
      <w:tr w:rsidR="00AB15F8" w:rsidTr="004070E8">
        <w:trPr>
          <w:trHeight w:val="31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32 inch</w:t>
            </w:r>
            <w:r w:rsidRPr="00C558F1">
              <w:rPr>
                <w:vertAlign w:val="super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900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13.8 b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$0.40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$4.00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$95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$148.50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$230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$414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$30.38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$386</w:t>
            </w:r>
          </w:p>
        </w:tc>
      </w:tr>
      <w:tr w:rsidR="00AB15F8" w:rsidTr="004070E8">
        <w:trPr>
          <w:trHeight w:val="31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58F1">
              <w:rPr>
                <w:b/>
              </w:rPr>
              <w:t>48 inch</w:t>
            </w:r>
            <w:r w:rsidRPr="00C558F1">
              <w:rPr>
                <w:b/>
                <w:vertAlign w:val="superscript"/>
              </w:rPr>
              <w:t>2</w:t>
            </w:r>
            <w:r w:rsidRPr="00C558F1">
              <w:rPr>
                <w:b/>
              </w:rPr>
              <w:t xml:space="preserve"> standard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600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37.3 a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$2.40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$148.50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$164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$297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$20.25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$277</w:t>
            </w:r>
          </w:p>
        </w:tc>
      </w:tr>
      <w:tr w:rsidR="00AB15F8" w:rsidTr="004070E8">
        <w:trPr>
          <w:trHeight w:val="31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60 inch</w:t>
            </w:r>
            <w:r w:rsidRPr="00C558F1">
              <w:rPr>
                <w:vertAlign w:val="super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480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41.5 a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$0.20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$0.00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$10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$110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$9.60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$111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$198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$16.20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$182</w:t>
            </w:r>
          </w:p>
        </w:tc>
      </w:tr>
      <w:tr w:rsidR="00AB15F8" w:rsidTr="004070E8">
        <w:trPr>
          <w:trHeight w:val="317"/>
        </w:trPr>
        <w:tc>
          <w:tcPr>
            <w:tcW w:w="1278" w:type="dxa"/>
            <w:tcBorders>
              <w:top w:val="nil"/>
              <w:left w:val="nil"/>
              <w:bottom w:val="thickThinMediumGap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80 inch</w:t>
            </w:r>
            <w:r w:rsidRPr="00C558F1">
              <w:rPr>
                <w:vertAlign w:val="superscript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thickThinMediumGap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thickThinMediumGap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thickThinMediumGap" w:sz="12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360</w:t>
            </w:r>
          </w:p>
        </w:tc>
        <w:tc>
          <w:tcPr>
            <w:tcW w:w="990" w:type="dxa"/>
            <w:tcBorders>
              <w:top w:val="nil"/>
              <w:left w:val="single" w:sz="12" w:space="0" w:color="auto"/>
              <w:bottom w:val="thickThinMediumGap" w:sz="12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Pr="00070D76" w:rsidRDefault="00AB15F8" w:rsidP="004070E8">
            <w:pPr>
              <w:autoSpaceDE w:val="0"/>
              <w:autoSpaceDN w:val="0"/>
              <w:adjustRightInd w:val="0"/>
              <w:jc w:val="center"/>
            </w:pPr>
            <w:r w:rsidRPr="00070D76">
              <w:t>53.6 a</w:t>
            </w:r>
          </w:p>
        </w:tc>
        <w:tc>
          <w:tcPr>
            <w:tcW w:w="810" w:type="dxa"/>
            <w:tcBorders>
              <w:top w:val="nil"/>
              <w:left w:val="single" w:sz="12" w:space="0" w:color="auto"/>
              <w:bottom w:val="thickThinMediumGap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$0.00</w:t>
            </w:r>
          </w:p>
        </w:tc>
        <w:tc>
          <w:tcPr>
            <w:tcW w:w="810" w:type="dxa"/>
            <w:tcBorders>
              <w:top w:val="nil"/>
              <w:left w:val="nil"/>
              <w:bottom w:val="thickThinMediumGap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$0.40</w:t>
            </w:r>
          </w:p>
        </w:tc>
        <w:tc>
          <w:tcPr>
            <w:tcW w:w="848" w:type="dxa"/>
            <w:tcBorders>
              <w:top w:val="nil"/>
              <w:left w:val="nil"/>
              <w:bottom w:val="thickThinMediumGap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$5</w:t>
            </w:r>
          </w:p>
        </w:tc>
        <w:tc>
          <w:tcPr>
            <w:tcW w:w="924" w:type="dxa"/>
            <w:tcBorders>
              <w:top w:val="nil"/>
              <w:left w:val="nil"/>
              <w:bottom w:val="thickThinMediumGap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$71.50</w:t>
            </w:r>
          </w:p>
        </w:tc>
        <w:tc>
          <w:tcPr>
            <w:tcW w:w="1198" w:type="dxa"/>
            <w:tcBorders>
              <w:top w:val="nil"/>
              <w:left w:val="nil"/>
              <w:bottom w:val="thickThinMediumGap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$7.20</w:t>
            </w:r>
          </w:p>
        </w:tc>
        <w:tc>
          <w:tcPr>
            <w:tcW w:w="1080" w:type="dxa"/>
            <w:tcBorders>
              <w:top w:val="nil"/>
              <w:left w:val="nil"/>
              <w:bottom w:val="thickThinMediumGap" w:sz="12" w:space="0" w:color="auto"/>
              <w:right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$70</w:t>
            </w: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thickThinMediumGap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$144</w:t>
            </w:r>
          </w:p>
        </w:tc>
        <w:tc>
          <w:tcPr>
            <w:tcW w:w="1250" w:type="dxa"/>
            <w:tcBorders>
              <w:top w:val="nil"/>
              <w:left w:val="nil"/>
              <w:bottom w:val="thickThinMediumGap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$12.15</w:t>
            </w:r>
          </w:p>
        </w:tc>
        <w:tc>
          <w:tcPr>
            <w:tcW w:w="1018" w:type="dxa"/>
            <w:tcBorders>
              <w:top w:val="nil"/>
              <w:left w:val="nil"/>
              <w:bottom w:val="thickThinMediumGap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Default="00AB15F8" w:rsidP="004070E8">
            <w:pPr>
              <w:jc w:val="center"/>
            </w:pPr>
            <w:r>
              <w:t>$132</w:t>
            </w:r>
          </w:p>
        </w:tc>
      </w:tr>
      <w:tr w:rsidR="00AB15F8" w:rsidTr="004070E8">
        <w:tc>
          <w:tcPr>
            <w:tcW w:w="13176" w:type="dxa"/>
            <w:gridSpan w:val="14"/>
            <w:tcBorders>
              <w:top w:val="thickThinMediumGap" w:sz="12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B15F8" w:rsidRPr="00C558F1" w:rsidRDefault="00AB15F8" w:rsidP="004070E8">
            <w:pPr>
              <w:rPr>
                <w:sz w:val="20"/>
                <w:szCs w:val="20"/>
              </w:rPr>
            </w:pPr>
            <w:r w:rsidRPr="00C558F1">
              <w:rPr>
                <w:b/>
                <w:sz w:val="20"/>
                <w:szCs w:val="20"/>
                <w:vertAlign w:val="superscript"/>
              </w:rPr>
              <w:t>1</w:t>
            </w:r>
            <w:r w:rsidRPr="00C558F1">
              <w:rPr>
                <w:b/>
                <w:sz w:val="20"/>
                <w:szCs w:val="20"/>
              </w:rPr>
              <w:t>Variable pricing</w:t>
            </w:r>
            <w:r w:rsidRPr="00C558F1">
              <w:rPr>
                <w:sz w:val="20"/>
                <w:szCs w:val="20"/>
              </w:rPr>
              <w:t xml:space="preserve">: according to PA Simply Sweet program, cannot sell more than 30% weight as small and medium size. </w:t>
            </w:r>
            <w:r w:rsidRPr="00C558F1">
              <w:rPr>
                <w:b/>
                <w:sz w:val="20"/>
                <w:szCs w:val="20"/>
                <w:vertAlign w:val="superscript"/>
              </w:rPr>
              <w:t>2</w:t>
            </w:r>
            <w:r w:rsidRPr="00C558F1">
              <w:rPr>
                <w:b/>
                <w:sz w:val="20"/>
                <w:szCs w:val="20"/>
              </w:rPr>
              <w:t>Uniform Pricing:</w:t>
            </w:r>
            <w:r w:rsidRPr="00C558F1">
              <w:rPr>
                <w:sz w:val="20"/>
                <w:szCs w:val="20"/>
              </w:rPr>
              <w:t xml:space="preserve"> According to Interlaken road side stand prices, all grades except small are marketable. </w:t>
            </w:r>
            <w:r w:rsidRPr="00C558F1">
              <w:rPr>
                <w:sz w:val="20"/>
                <w:szCs w:val="20"/>
                <w:vertAlign w:val="superscript"/>
              </w:rPr>
              <w:t>3</w:t>
            </w:r>
            <w:r w:rsidRPr="00C558F1">
              <w:rPr>
                <w:sz w:val="20"/>
                <w:szCs w:val="20"/>
              </w:rPr>
              <w:t xml:space="preserve">Numbers in a column followed by the same letter are not significantly different, Fisher’s Protected LSD test, p &lt;0.05.  </w:t>
            </w:r>
            <w:r w:rsidRPr="00C558F1">
              <w:rPr>
                <w:sz w:val="20"/>
                <w:szCs w:val="20"/>
                <w:vertAlign w:val="superscript"/>
              </w:rPr>
              <w:t>4</w:t>
            </w:r>
            <w:r w:rsidRPr="00C558F1">
              <w:rPr>
                <w:b/>
                <w:sz w:val="20"/>
                <w:szCs w:val="20"/>
              </w:rPr>
              <w:t xml:space="preserve">cost of transplants: </w:t>
            </w:r>
            <w:r w:rsidRPr="00C558F1">
              <w:rPr>
                <w:sz w:val="20"/>
                <w:szCs w:val="20"/>
              </w:rPr>
              <w:t>NY</w:t>
            </w:r>
            <w:r w:rsidRPr="00C558F1">
              <w:rPr>
                <w:b/>
                <w:sz w:val="20"/>
                <w:szCs w:val="20"/>
              </w:rPr>
              <w:t xml:space="preserve"> - </w:t>
            </w:r>
            <w:r w:rsidRPr="00C558F1">
              <w:rPr>
                <w:sz w:val="20"/>
                <w:szCs w:val="20"/>
              </w:rPr>
              <w:t>$1.35 for 40 plants or $0.03375 per plant (plugs); PA - $0.02 per plant (bare roots from Texas).</w:t>
            </w:r>
          </w:p>
        </w:tc>
      </w:tr>
    </w:tbl>
    <w:p w:rsidR="00AB15F8" w:rsidRPr="002E5C59" w:rsidRDefault="00AB15F8" w:rsidP="00AB15F8"/>
    <w:p w:rsidR="00C9291D" w:rsidRDefault="00C9291D"/>
    <w:sectPr w:rsidR="00C9291D" w:rsidSect="00DC0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15F8"/>
    <w:rsid w:val="00AB15F8"/>
    <w:rsid w:val="00C9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CCE Veg. Program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Hoepting</dc:creator>
  <cp:keywords/>
  <dc:description/>
  <cp:lastModifiedBy>Christy Hoepting</cp:lastModifiedBy>
  <cp:revision>1</cp:revision>
  <dcterms:created xsi:type="dcterms:W3CDTF">2011-03-01T19:06:00Z</dcterms:created>
  <dcterms:modified xsi:type="dcterms:W3CDTF">2011-03-01T19:07:00Z</dcterms:modified>
</cp:coreProperties>
</file>