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AC" w:rsidRDefault="00121BAC" w:rsidP="00121BAC">
      <w:pPr>
        <w:pBdr>
          <w:bottom w:val="double" w:sz="4" w:space="1" w:color="auto"/>
        </w:pBdr>
        <w:tabs>
          <w:tab w:val="left" w:pos="360"/>
          <w:tab w:val="left" w:pos="5670"/>
          <w:tab w:val="left" w:pos="7020"/>
          <w:tab w:val="left" w:pos="8370"/>
        </w:tabs>
        <w:spacing w:after="0"/>
        <w:jc w:val="both"/>
      </w:pPr>
      <w:proofErr w:type="gramStart"/>
      <w:r>
        <w:rPr>
          <w:b/>
        </w:rPr>
        <w:t>Table 3.</w:t>
      </w:r>
      <w:proofErr w:type="gramEnd"/>
      <w:r>
        <w:t xml:space="preserve"> Crop yields at each rotation phase of two cropping systems at Moccasin, MT in 2009 and 2010 crop years.</w:t>
      </w:r>
    </w:p>
    <w:p w:rsidR="00121BAC" w:rsidRDefault="00121BAC" w:rsidP="00121BAC">
      <w:pPr>
        <w:pBdr>
          <w:bottom w:val="double" w:sz="4" w:space="1" w:color="auto"/>
        </w:pBdr>
        <w:tabs>
          <w:tab w:val="left" w:pos="360"/>
          <w:tab w:val="left" w:pos="5670"/>
          <w:tab w:val="left" w:pos="7020"/>
          <w:tab w:val="left" w:pos="8370"/>
        </w:tabs>
        <w:spacing w:after="0"/>
        <w:jc w:val="both"/>
      </w:pPr>
      <w:r>
        <w:t xml:space="preserve">                                                                                                        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 w:rsidRPr="00751F95">
        <w:rPr>
          <w:b/>
        </w:rPr>
        <w:t>Phase I:</w:t>
      </w:r>
      <w:r>
        <w:t xml:space="preserve">                                                                 </w:t>
      </w:r>
      <w:r w:rsidRPr="00A1586F">
        <w:rPr>
          <w:b/>
        </w:rPr>
        <w:t>Yield (kg ha</w:t>
      </w:r>
      <w:r w:rsidRPr="00A1586F">
        <w:rPr>
          <w:b/>
          <w:vertAlign w:val="superscript"/>
        </w:rPr>
        <w:t>-1</w:t>
      </w:r>
      <w:r w:rsidRPr="00A1586F">
        <w:rPr>
          <w:b/>
        </w:rPr>
        <w:t xml:space="preserve">)       </w:t>
      </w:r>
      <w:r>
        <w:rPr>
          <w:b/>
        </w:rPr>
        <w:t xml:space="preserve"> </w:t>
      </w:r>
      <w:r w:rsidRPr="00A1586F">
        <w:rPr>
          <w:b/>
        </w:rPr>
        <w:t xml:space="preserve">   Oil Content (g kg</w:t>
      </w:r>
      <w:r w:rsidRPr="00A1586F">
        <w:rPr>
          <w:b/>
          <w:vertAlign w:val="superscript"/>
        </w:rPr>
        <w:t>-1</w:t>
      </w:r>
      <w:r w:rsidRPr="00A1586F">
        <w:rPr>
          <w:b/>
        </w:rPr>
        <w:t>)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>
        <w:t xml:space="preserve">2009                                                                            969 </w:t>
      </w:r>
      <w:r>
        <w:rPr>
          <w:rFonts w:ascii="Cambria" w:hAnsi="Cambria"/>
        </w:rPr>
        <w:t>±</w:t>
      </w:r>
      <w:r>
        <w:t xml:space="preserve"> 57a</w:t>
      </w:r>
      <w:r>
        <w:rPr>
          <w:rFonts w:ascii="Cambria" w:hAnsi="Cambria"/>
        </w:rPr>
        <w:t>§                     347±13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>
        <w:t xml:space="preserve">2010                                                                         1088 </w:t>
      </w:r>
      <w:r>
        <w:rPr>
          <w:rFonts w:ascii="Cambria" w:hAnsi="Cambria"/>
        </w:rPr>
        <w:t>±</w:t>
      </w:r>
      <w:r>
        <w:t xml:space="preserve"> 57a                        339±17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proofErr w:type="gramStart"/>
      <w:r>
        <w:t>Fallow (in Fallow-W.</w:t>
      </w:r>
      <w:proofErr w:type="gramEnd"/>
      <w:r>
        <w:t xml:space="preserve"> Wheat)                                   0 b</w:t>
      </w:r>
    </w:p>
    <w:p w:rsidR="00121BAC" w:rsidRDefault="00121BAC" w:rsidP="00121BAC">
      <w:pPr>
        <w:tabs>
          <w:tab w:val="left" w:pos="360"/>
          <w:tab w:val="left" w:pos="5670"/>
          <w:tab w:val="left" w:pos="6750"/>
          <w:tab w:val="left" w:pos="8460"/>
        </w:tabs>
        <w:spacing w:after="0"/>
        <w:jc w:val="both"/>
      </w:pPr>
      <w:proofErr w:type="spellStart"/>
      <w:proofErr w:type="gramStart"/>
      <w:r>
        <w:t>Camelina</w:t>
      </w:r>
      <w:proofErr w:type="spellEnd"/>
      <w:r>
        <w:t xml:space="preserve"> (in </w:t>
      </w:r>
      <w:proofErr w:type="spellStart"/>
      <w:r>
        <w:t>camelina</w:t>
      </w:r>
      <w:proofErr w:type="spellEnd"/>
      <w:r>
        <w:t>-W.</w:t>
      </w:r>
      <w:proofErr w:type="gramEnd"/>
      <w:r>
        <w:t xml:space="preserve"> Wheat)                  1144 </w:t>
      </w:r>
      <w:r>
        <w:rPr>
          <w:rFonts w:ascii="Cambria" w:hAnsi="Cambria"/>
        </w:rPr>
        <w:t xml:space="preserve">± </w:t>
      </w:r>
      <w:r>
        <w:t>80a                        343±15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</w:p>
    <w:p w:rsidR="00121BAC" w:rsidRPr="001A1A09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  <w:rPr>
          <w:b/>
        </w:rPr>
      </w:pPr>
      <w:r w:rsidRPr="001A1A09">
        <w:rPr>
          <w:b/>
        </w:rPr>
        <w:t>Phase II:</w:t>
      </w:r>
      <w:r>
        <w:rPr>
          <w:b/>
        </w:rPr>
        <w:t xml:space="preserve">                                                               Yield (kg ha-1)             Protein (g kg</w:t>
      </w:r>
      <w:r w:rsidRPr="00A1586F">
        <w:rPr>
          <w:b/>
          <w:vertAlign w:val="superscript"/>
        </w:rPr>
        <w:t>-1</w:t>
      </w:r>
      <w:r>
        <w:rPr>
          <w:b/>
        </w:rPr>
        <w:t>)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r>
        <w:t xml:space="preserve">2009                                                                         1933 </w:t>
      </w:r>
      <w:r>
        <w:rPr>
          <w:rFonts w:ascii="Cambria" w:hAnsi="Cambria"/>
        </w:rPr>
        <w:t>±</w:t>
      </w:r>
      <w:r>
        <w:t xml:space="preserve"> 80b                           165±3.6a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r>
        <w:t xml:space="preserve">2010                                                                         3082 </w:t>
      </w:r>
      <w:r>
        <w:rPr>
          <w:rFonts w:ascii="Cambria" w:hAnsi="Cambria"/>
        </w:rPr>
        <w:t>±</w:t>
      </w:r>
      <w:r>
        <w:t xml:space="preserve"> 80a                           119±3.6b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proofErr w:type="gramStart"/>
      <w:r>
        <w:t>W. Wheat (in Fallow-W.</w:t>
      </w:r>
      <w:proofErr w:type="gramEnd"/>
      <w:r>
        <w:t xml:space="preserve"> Wheat)                      2853 </w:t>
      </w:r>
      <w:r>
        <w:rPr>
          <w:rFonts w:ascii="Cambria" w:hAnsi="Cambria"/>
        </w:rPr>
        <w:t>±</w:t>
      </w:r>
      <w:r>
        <w:t xml:space="preserve"> 113a                         143±7.1a   </w:t>
      </w:r>
    </w:p>
    <w:p w:rsidR="00121BAC" w:rsidRPr="00BB5665" w:rsidRDefault="00121BAC" w:rsidP="00121BAC">
      <w:pPr>
        <w:pBdr>
          <w:bottom w:val="single" w:sz="4" w:space="1" w:color="auto"/>
        </w:pBdr>
        <w:tabs>
          <w:tab w:val="left" w:pos="360"/>
          <w:tab w:val="left" w:pos="5580"/>
          <w:tab w:val="left" w:pos="6750"/>
          <w:tab w:val="left" w:pos="8370"/>
        </w:tabs>
        <w:spacing w:after="0"/>
        <w:jc w:val="both"/>
      </w:pPr>
      <w:proofErr w:type="gramStart"/>
      <w:r>
        <w:t xml:space="preserve">W. Wheat (in </w:t>
      </w:r>
      <w:proofErr w:type="spellStart"/>
      <w:r>
        <w:t>camelina</w:t>
      </w:r>
      <w:proofErr w:type="spellEnd"/>
      <w:r>
        <w:t>-W.</w:t>
      </w:r>
      <w:proofErr w:type="gramEnd"/>
      <w:r>
        <w:t xml:space="preserve"> Wheat)                 2487 </w:t>
      </w:r>
      <w:r>
        <w:rPr>
          <w:rFonts w:ascii="Cambria" w:hAnsi="Cambria"/>
        </w:rPr>
        <w:t>±</w:t>
      </w:r>
      <w:r>
        <w:t xml:space="preserve"> 113b                         144±7.1a</w:t>
      </w:r>
    </w:p>
    <w:p w:rsidR="00121BAC" w:rsidRDefault="00121BAC" w:rsidP="00121BAC">
      <w:pPr>
        <w:spacing w:after="0"/>
        <w:rPr>
          <w:b/>
        </w:rPr>
      </w:pPr>
      <w:r>
        <w:rPr>
          <w:rFonts w:ascii="Cambria" w:hAnsi="Cambria"/>
        </w:rPr>
        <w:t>§ Different letters following the values within year or rotation treatments indicate significant differences according to Protected LSD test at P≤0.05 level.</w:t>
      </w:r>
    </w:p>
    <w:p w:rsidR="00FA1FE4" w:rsidRDefault="00FA1FE4" w:rsidP="00121BAC">
      <w:pPr>
        <w:spacing w:after="0"/>
        <w:rPr>
          <w:b/>
        </w:rPr>
      </w:pPr>
    </w:p>
    <w:p w:rsidR="00121BAC" w:rsidRDefault="00121BAC" w:rsidP="00121BAC">
      <w:pPr>
        <w:spacing w:after="0"/>
      </w:pPr>
      <w:proofErr w:type="gramStart"/>
      <w:r w:rsidRPr="00CE3E8D">
        <w:rPr>
          <w:b/>
        </w:rPr>
        <w:t xml:space="preserve">Table </w:t>
      </w:r>
      <w:r>
        <w:rPr>
          <w:b/>
        </w:rPr>
        <w:t>4</w:t>
      </w:r>
      <w:r w:rsidRPr="00CE3E8D">
        <w:rPr>
          <w:b/>
        </w:rPr>
        <w:t>.</w:t>
      </w:r>
      <w:proofErr w:type="gramEnd"/>
      <w:r>
        <w:t xml:space="preserve"> </w:t>
      </w:r>
      <w:proofErr w:type="gramStart"/>
      <w:r>
        <w:t>Crop residue return to soil after crop harvest in two different cropping systems at Moccasin, MT during the 2009 and 2010 crop years.</w:t>
      </w:r>
      <w:proofErr w:type="gramEnd"/>
    </w:p>
    <w:p w:rsidR="00121BAC" w:rsidRDefault="00121BAC" w:rsidP="00121BAC">
      <w:pPr>
        <w:spacing w:after="0"/>
      </w:pPr>
      <w:r>
        <w:t xml:space="preserve">                                                                                                        </w:t>
      </w:r>
    </w:p>
    <w:p w:rsidR="00121BAC" w:rsidRDefault="00121BAC" w:rsidP="00121BAC">
      <w:pPr>
        <w:pBdr>
          <w:top w:val="single" w:sz="12" w:space="1" w:color="auto"/>
        </w:pBd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 w:rsidRPr="00751F95">
        <w:rPr>
          <w:b/>
        </w:rPr>
        <w:t>Phase I:</w:t>
      </w:r>
      <w:r>
        <w:t xml:space="preserve">                                                                 </w:t>
      </w:r>
      <w:r w:rsidRPr="0059213C">
        <w:rPr>
          <w:b/>
        </w:rPr>
        <w:t xml:space="preserve">Straw </w:t>
      </w:r>
      <w:r w:rsidRPr="00A1586F">
        <w:rPr>
          <w:b/>
        </w:rPr>
        <w:t>Yield (kg ha</w:t>
      </w:r>
      <w:r w:rsidRPr="00A1586F">
        <w:rPr>
          <w:b/>
          <w:vertAlign w:val="superscript"/>
        </w:rPr>
        <w:t>-1</w:t>
      </w:r>
      <w:r w:rsidRPr="00A1586F">
        <w:rPr>
          <w:b/>
        </w:rPr>
        <w:t xml:space="preserve">)       </w:t>
      </w:r>
      <w:r>
        <w:rPr>
          <w:b/>
        </w:rPr>
        <w:t xml:space="preserve"> </w:t>
      </w:r>
      <w:r w:rsidRPr="00A1586F">
        <w:rPr>
          <w:b/>
        </w:rPr>
        <w:t xml:space="preserve">   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>
        <w:t xml:space="preserve">2009                                                                         1498 </w:t>
      </w:r>
      <w:r>
        <w:rPr>
          <w:rFonts w:ascii="Cambria" w:hAnsi="Cambria"/>
        </w:rPr>
        <w:t>±</w:t>
      </w:r>
      <w:r>
        <w:t xml:space="preserve"> 112b</w:t>
      </w:r>
      <w:r>
        <w:rPr>
          <w:rFonts w:ascii="Cambria" w:hAnsi="Cambria"/>
        </w:rPr>
        <w:t>§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r>
        <w:t xml:space="preserve">2010                                                                         1829 </w:t>
      </w:r>
      <w:r>
        <w:rPr>
          <w:rFonts w:ascii="Cambria" w:hAnsi="Cambria"/>
        </w:rPr>
        <w:t>±</w:t>
      </w:r>
      <w:r>
        <w:t xml:space="preserve"> 112a</w:t>
      </w:r>
    </w:p>
    <w:p w:rsidR="00121BAC" w:rsidRDefault="00121BAC" w:rsidP="00121BAC">
      <w:pPr>
        <w:tabs>
          <w:tab w:val="left" w:pos="360"/>
          <w:tab w:val="left" w:pos="5310"/>
          <w:tab w:val="left" w:pos="7020"/>
          <w:tab w:val="left" w:pos="8100"/>
        </w:tabs>
        <w:spacing w:after="0"/>
        <w:jc w:val="both"/>
      </w:pPr>
      <w:proofErr w:type="gramStart"/>
      <w:r>
        <w:t>Fallow (in Fallow-W.</w:t>
      </w:r>
      <w:proofErr w:type="gramEnd"/>
      <w:r>
        <w:t xml:space="preserve"> Wheat)                                   0 b</w:t>
      </w:r>
    </w:p>
    <w:p w:rsidR="00121BAC" w:rsidRDefault="00121BAC" w:rsidP="00121BAC">
      <w:pPr>
        <w:tabs>
          <w:tab w:val="left" w:pos="360"/>
          <w:tab w:val="left" w:pos="5670"/>
          <w:tab w:val="left" w:pos="6750"/>
          <w:tab w:val="left" w:pos="8460"/>
        </w:tabs>
        <w:spacing w:after="0"/>
        <w:jc w:val="both"/>
      </w:pPr>
      <w:proofErr w:type="spellStart"/>
      <w:proofErr w:type="gramStart"/>
      <w:r>
        <w:t>Camelina</w:t>
      </w:r>
      <w:proofErr w:type="spellEnd"/>
      <w:r>
        <w:t xml:space="preserve"> (in </w:t>
      </w:r>
      <w:proofErr w:type="spellStart"/>
      <w:r>
        <w:t>camelina</w:t>
      </w:r>
      <w:proofErr w:type="spellEnd"/>
      <w:r>
        <w:t>-W.</w:t>
      </w:r>
      <w:proofErr w:type="gramEnd"/>
      <w:r>
        <w:t xml:space="preserve"> Wheat)                  2317 </w:t>
      </w:r>
      <w:r>
        <w:rPr>
          <w:rFonts w:ascii="Cambria" w:hAnsi="Cambria"/>
        </w:rPr>
        <w:t xml:space="preserve">± </w:t>
      </w:r>
      <w:r>
        <w:t>159a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</w:p>
    <w:p w:rsidR="00121BAC" w:rsidRPr="001A1A09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  <w:rPr>
          <w:b/>
        </w:rPr>
      </w:pPr>
      <w:r w:rsidRPr="001A1A09">
        <w:rPr>
          <w:b/>
        </w:rPr>
        <w:t>Phase II:</w:t>
      </w:r>
      <w:r>
        <w:rPr>
          <w:b/>
        </w:rPr>
        <w:t xml:space="preserve">                                                               Straw Yield (kg ha-1)             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r>
        <w:t xml:space="preserve">2009                                                                         2287 </w:t>
      </w:r>
      <w:r>
        <w:rPr>
          <w:rFonts w:ascii="Cambria" w:hAnsi="Cambria"/>
        </w:rPr>
        <w:t>±</w:t>
      </w:r>
      <w:r>
        <w:t xml:space="preserve"> 91b                           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r>
        <w:t xml:space="preserve">2010                                                                         3656 </w:t>
      </w:r>
      <w:r>
        <w:rPr>
          <w:rFonts w:ascii="Cambria" w:hAnsi="Cambria"/>
        </w:rPr>
        <w:t>±</w:t>
      </w:r>
      <w:r>
        <w:t xml:space="preserve"> 91a                           </w:t>
      </w:r>
    </w:p>
    <w:p w:rsidR="00121BAC" w:rsidRDefault="00121BAC" w:rsidP="00121BAC">
      <w:pPr>
        <w:tabs>
          <w:tab w:val="left" w:pos="360"/>
          <w:tab w:val="left" w:pos="5310"/>
          <w:tab w:val="left" w:pos="6840"/>
          <w:tab w:val="left" w:pos="8100"/>
        </w:tabs>
        <w:spacing w:after="0"/>
        <w:jc w:val="both"/>
      </w:pPr>
      <w:proofErr w:type="gramStart"/>
      <w:r>
        <w:t>W. Wheat (in Fallow-W.</w:t>
      </w:r>
      <w:proofErr w:type="gramEnd"/>
      <w:r>
        <w:t xml:space="preserve"> Wheat)                     3377 </w:t>
      </w:r>
      <w:r>
        <w:rPr>
          <w:rFonts w:ascii="Cambria" w:hAnsi="Cambria"/>
        </w:rPr>
        <w:t>±</w:t>
      </w:r>
      <w:r>
        <w:t xml:space="preserve"> 128a                          </w:t>
      </w:r>
    </w:p>
    <w:p w:rsidR="00121BAC" w:rsidRPr="00BB5665" w:rsidRDefault="00121BAC" w:rsidP="00121BAC">
      <w:pPr>
        <w:pBdr>
          <w:bottom w:val="single" w:sz="12" w:space="1" w:color="auto"/>
        </w:pBdr>
        <w:tabs>
          <w:tab w:val="left" w:pos="360"/>
          <w:tab w:val="left" w:pos="5580"/>
          <w:tab w:val="left" w:pos="6750"/>
          <w:tab w:val="left" w:pos="8370"/>
        </w:tabs>
        <w:spacing w:after="0"/>
        <w:jc w:val="both"/>
      </w:pPr>
      <w:proofErr w:type="gramStart"/>
      <w:r>
        <w:t xml:space="preserve">W. Wheat (in </w:t>
      </w:r>
      <w:proofErr w:type="spellStart"/>
      <w:r>
        <w:t>camelina</w:t>
      </w:r>
      <w:proofErr w:type="spellEnd"/>
      <w:r>
        <w:t>-W.</w:t>
      </w:r>
      <w:proofErr w:type="gramEnd"/>
      <w:r>
        <w:t xml:space="preserve"> Wheat)                 2920 </w:t>
      </w:r>
      <w:r>
        <w:rPr>
          <w:rFonts w:ascii="Cambria" w:hAnsi="Cambria"/>
        </w:rPr>
        <w:t>±</w:t>
      </w:r>
      <w:r>
        <w:t xml:space="preserve"> 128b                         </w:t>
      </w:r>
    </w:p>
    <w:p w:rsidR="00121BAC" w:rsidRDefault="00121BAC" w:rsidP="00121BAC">
      <w:pPr>
        <w:spacing w:after="0"/>
        <w:rPr>
          <w:b/>
        </w:rPr>
      </w:pPr>
      <w:r>
        <w:rPr>
          <w:rFonts w:ascii="Cambria" w:hAnsi="Cambria"/>
        </w:rPr>
        <w:t>§ Different letters following the values within year or rotation treatments indicate significant differences according to Protected LSD test at P≤0.05 level.</w:t>
      </w:r>
    </w:p>
    <w:p w:rsidR="00121BAC" w:rsidRPr="00683AD0" w:rsidRDefault="00121BAC" w:rsidP="00121BAC">
      <w:pPr>
        <w:spacing w:after="120"/>
        <w:rPr>
          <w:color w:val="000000"/>
        </w:rPr>
      </w:pPr>
      <w:proofErr w:type="gramStart"/>
      <w:r w:rsidRPr="00121BAC">
        <w:rPr>
          <w:b/>
        </w:rPr>
        <w:t>Table 5.</w:t>
      </w:r>
      <w:proofErr w:type="gramEnd"/>
      <w:r>
        <w:t xml:space="preserve">  </w:t>
      </w:r>
      <w:proofErr w:type="spellStart"/>
      <w:r>
        <w:t>Camelina</w:t>
      </w:r>
      <w:proofErr w:type="spellEnd"/>
      <w:r>
        <w:t xml:space="preserve"> yield and harvest index over three years following winter wheat</w:t>
      </w:r>
      <w:r w:rsidRPr="00935BD3">
        <w:rPr>
          <w:color w:val="000000"/>
        </w:rPr>
        <w:t xml:space="preserve"> </w:t>
      </w:r>
      <w:r>
        <w:rPr>
          <w:color w:val="000000"/>
        </w:rPr>
        <w:t>in</w:t>
      </w:r>
      <w:r w:rsidRPr="00683AD0">
        <w:rPr>
          <w:color w:val="000000"/>
        </w:rPr>
        <w:t xml:space="preserve"> </w:t>
      </w:r>
      <w:proofErr w:type="spellStart"/>
      <w:r>
        <w:rPr>
          <w:color w:val="000000"/>
        </w:rPr>
        <w:t>dryland</w:t>
      </w:r>
      <w:proofErr w:type="spellEnd"/>
      <w:r>
        <w:rPr>
          <w:color w:val="000000"/>
        </w:rPr>
        <w:t xml:space="preserve"> </w:t>
      </w:r>
      <w:r w:rsidRPr="00683AD0">
        <w:rPr>
          <w:color w:val="000000"/>
        </w:rPr>
        <w:t>crop rotation</w:t>
      </w:r>
      <w:r>
        <w:rPr>
          <w:color w:val="000000"/>
        </w:rPr>
        <w:t xml:space="preserve"> </w:t>
      </w:r>
      <w:r w:rsidRPr="00683AD0">
        <w:rPr>
          <w:color w:val="000000"/>
        </w:rPr>
        <w:t xml:space="preserve">at SAREC near </w:t>
      </w:r>
      <w:proofErr w:type="spellStart"/>
      <w:proofErr w:type="gramStart"/>
      <w:r w:rsidRPr="00683AD0">
        <w:rPr>
          <w:color w:val="000000"/>
        </w:rPr>
        <w:t>Lingle</w:t>
      </w:r>
      <w:proofErr w:type="spellEnd"/>
      <w:r w:rsidRPr="00683AD0">
        <w:rPr>
          <w:color w:val="000000"/>
        </w:rPr>
        <w:t xml:space="preserve"> ,</w:t>
      </w:r>
      <w:proofErr w:type="gramEnd"/>
      <w:r w:rsidRPr="00683AD0">
        <w:rPr>
          <w:color w:val="000000"/>
        </w:rPr>
        <w:t>WY.</w:t>
      </w:r>
    </w:p>
    <w:tbl>
      <w:tblPr>
        <w:tblStyle w:val="TableGrid"/>
        <w:tblW w:w="0" w:type="auto"/>
        <w:tblLook w:val="04A0"/>
      </w:tblPr>
      <w:tblGrid>
        <w:gridCol w:w="1458"/>
        <w:gridCol w:w="1530"/>
        <w:gridCol w:w="1530"/>
      </w:tblGrid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t>Year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>Yield (lb/a)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Harvest index</w:t>
            </w:r>
          </w:p>
        </w:tc>
      </w:tr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t>2008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>314     B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NA</w:t>
            </w:r>
          </w:p>
        </w:tc>
      </w:tr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t>2009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 xml:space="preserve">  92   A 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18.3</w:t>
            </w:r>
          </w:p>
        </w:tc>
      </w:tr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t>2010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>709       C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24.8</w:t>
            </w:r>
          </w:p>
        </w:tc>
      </w:tr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lastRenderedPageBreak/>
              <w:t>Mean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>371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21.4</w:t>
            </w:r>
          </w:p>
        </w:tc>
      </w:tr>
      <w:tr w:rsidR="00121BAC" w:rsidRPr="0013795E" w:rsidTr="004A598D">
        <w:tc>
          <w:tcPr>
            <w:tcW w:w="1458" w:type="dxa"/>
          </w:tcPr>
          <w:p w:rsidR="00121BAC" w:rsidRPr="0013795E" w:rsidRDefault="00121BAC" w:rsidP="004A598D">
            <w:r w:rsidRPr="0013795E">
              <w:t xml:space="preserve">LSD 0.05 </w:t>
            </w:r>
          </w:p>
        </w:tc>
        <w:tc>
          <w:tcPr>
            <w:tcW w:w="1530" w:type="dxa"/>
          </w:tcPr>
          <w:p w:rsidR="00121BAC" w:rsidRPr="0013795E" w:rsidRDefault="00121BAC" w:rsidP="004A598D">
            <w:r w:rsidRPr="0013795E">
              <w:t>134</w:t>
            </w:r>
          </w:p>
        </w:tc>
        <w:tc>
          <w:tcPr>
            <w:tcW w:w="1530" w:type="dxa"/>
          </w:tcPr>
          <w:p w:rsidR="00121BAC" w:rsidRPr="0013795E" w:rsidRDefault="00121BAC" w:rsidP="004A598D">
            <w:r>
              <w:t>NA</w:t>
            </w:r>
          </w:p>
        </w:tc>
      </w:tr>
    </w:tbl>
    <w:p w:rsidR="00121BAC" w:rsidRDefault="00121BAC" w:rsidP="00121BAC"/>
    <w:p w:rsidR="00121BAC" w:rsidRPr="00683AD0" w:rsidRDefault="00121BAC" w:rsidP="00121BAC">
      <w:pPr>
        <w:spacing w:after="120"/>
        <w:rPr>
          <w:color w:val="000000"/>
        </w:rPr>
      </w:pPr>
      <w:proofErr w:type="gramStart"/>
      <w:r w:rsidRPr="00121BAC">
        <w:rPr>
          <w:b/>
        </w:rPr>
        <w:t>Table 6.</w:t>
      </w:r>
      <w:proofErr w:type="gramEnd"/>
      <w:r w:rsidRPr="00121BAC">
        <w:rPr>
          <w:b/>
        </w:rPr>
        <w:t xml:space="preserve"> </w:t>
      </w:r>
      <w:r>
        <w:t>Comparison of winter wheat yield (</w:t>
      </w:r>
      <w:proofErr w:type="spellStart"/>
      <w:r>
        <w:t>bu</w:t>
      </w:r>
      <w:proofErr w:type="spellEnd"/>
      <w:r>
        <w:t xml:space="preserve">/acre) over two years following </w:t>
      </w:r>
      <w:proofErr w:type="spellStart"/>
      <w:r>
        <w:t>camelina</w:t>
      </w:r>
      <w:proofErr w:type="spellEnd"/>
      <w:r>
        <w:t xml:space="preserve"> or fallow</w:t>
      </w:r>
      <w:r w:rsidRPr="00AA7849">
        <w:rPr>
          <w:color w:val="000000"/>
        </w:rPr>
        <w:t xml:space="preserve"> </w:t>
      </w:r>
      <w:r>
        <w:rPr>
          <w:color w:val="000000"/>
        </w:rPr>
        <w:t>in</w:t>
      </w:r>
      <w:r w:rsidRPr="00683AD0">
        <w:rPr>
          <w:color w:val="000000"/>
        </w:rPr>
        <w:t xml:space="preserve"> </w:t>
      </w:r>
      <w:proofErr w:type="spellStart"/>
      <w:r>
        <w:rPr>
          <w:color w:val="000000"/>
        </w:rPr>
        <w:t>dryland</w:t>
      </w:r>
      <w:proofErr w:type="spellEnd"/>
      <w:r>
        <w:rPr>
          <w:color w:val="000000"/>
        </w:rPr>
        <w:t xml:space="preserve"> </w:t>
      </w:r>
      <w:r w:rsidRPr="00683AD0">
        <w:rPr>
          <w:color w:val="000000"/>
        </w:rPr>
        <w:t>crop rotation</w:t>
      </w:r>
      <w:r>
        <w:rPr>
          <w:color w:val="000000"/>
        </w:rPr>
        <w:t>s</w:t>
      </w:r>
      <w:r w:rsidRPr="00683AD0">
        <w:rPr>
          <w:color w:val="000000"/>
        </w:rPr>
        <w:t xml:space="preserve"> at SAREC near </w:t>
      </w:r>
      <w:proofErr w:type="spellStart"/>
      <w:proofErr w:type="gramStart"/>
      <w:r w:rsidRPr="00683AD0">
        <w:rPr>
          <w:color w:val="000000"/>
        </w:rPr>
        <w:t>Lingle</w:t>
      </w:r>
      <w:proofErr w:type="spellEnd"/>
      <w:r w:rsidRPr="00683AD0">
        <w:rPr>
          <w:color w:val="000000"/>
        </w:rPr>
        <w:t xml:space="preserve"> ,</w:t>
      </w:r>
      <w:proofErr w:type="gramEnd"/>
      <w:r w:rsidRPr="00683AD0">
        <w:rPr>
          <w:color w:val="000000"/>
        </w:rPr>
        <w:t>WY.</w:t>
      </w:r>
    </w:p>
    <w:tbl>
      <w:tblPr>
        <w:tblStyle w:val="TableGrid"/>
        <w:tblW w:w="0" w:type="auto"/>
        <w:tblLook w:val="04A0"/>
      </w:tblPr>
      <w:tblGrid>
        <w:gridCol w:w="1548"/>
        <w:gridCol w:w="1260"/>
        <w:gridCol w:w="1170"/>
        <w:gridCol w:w="1710"/>
      </w:tblGrid>
      <w:tr w:rsidR="00121BAC" w:rsidRPr="0013795E" w:rsidTr="004A598D">
        <w:tc>
          <w:tcPr>
            <w:tcW w:w="1548" w:type="dxa"/>
          </w:tcPr>
          <w:p w:rsidR="00121BAC" w:rsidRPr="0013795E" w:rsidRDefault="00121BAC" w:rsidP="004A598D">
            <w:r w:rsidRPr="0013795E">
              <w:t>Year</w:t>
            </w:r>
          </w:p>
        </w:tc>
        <w:tc>
          <w:tcPr>
            <w:tcW w:w="1260" w:type="dxa"/>
          </w:tcPr>
          <w:p w:rsidR="00121BAC" w:rsidRPr="0013795E" w:rsidRDefault="00121BAC" w:rsidP="004A598D">
            <w:pPr>
              <w:jc w:val="right"/>
            </w:pPr>
            <w:r w:rsidRPr="0013795E">
              <w:t>2009</w:t>
            </w:r>
          </w:p>
        </w:tc>
        <w:tc>
          <w:tcPr>
            <w:tcW w:w="1170" w:type="dxa"/>
          </w:tcPr>
          <w:p w:rsidR="00121BAC" w:rsidRPr="0013795E" w:rsidRDefault="00121BAC" w:rsidP="004A598D">
            <w:pPr>
              <w:jc w:val="right"/>
            </w:pPr>
            <w:r w:rsidRPr="0013795E">
              <w:t>2010</w:t>
            </w:r>
          </w:p>
        </w:tc>
        <w:tc>
          <w:tcPr>
            <w:tcW w:w="1710" w:type="dxa"/>
          </w:tcPr>
          <w:p w:rsidR="00121BAC" w:rsidRPr="0013795E" w:rsidRDefault="00121BAC" w:rsidP="004A598D">
            <w:pPr>
              <w:jc w:val="right"/>
            </w:pPr>
            <w:r w:rsidRPr="0013795E">
              <w:t>Two year mean</w:t>
            </w:r>
          </w:p>
        </w:tc>
      </w:tr>
      <w:tr w:rsidR="00121BAC" w:rsidRPr="0013795E" w:rsidTr="004A598D">
        <w:tc>
          <w:tcPr>
            <w:tcW w:w="1548" w:type="dxa"/>
          </w:tcPr>
          <w:p w:rsidR="00121BAC" w:rsidRPr="0013795E" w:rsidRDefault="00121BAC" w:rsidP="004A598D">
            <w:proofErr w:type="spellStart"/>
            <w:r w:rsidRPr="0013795E">
              <w:t>Camelina</w:t>
            </w:r>
            <w:proofErr w:type="spellEnd"/>
          </w:p>
        </w:tc>
        <w:tc>
          <w:tcPr>
            <w:tcW w:w="1260" w:type="dxa"/>
          </w:tcPr>
          <w:p w:rsidR="00121BAC" w:rsidRPr="0013795E" w:rsidRDefault="00121BAC" w:rsidP="004A598D">
            <w:pPr>
              <w:jc w:val="right"/>
            </w:pPr>
            <w:r w:rsidRPr="0013795E">
              <w:t>3.2</w:t>
            </w:r>
          </w:p>
        </w:tc>
        <w:tc>
          <w:tcPr>
            <w:tcW w:w="1170" w:type="dxa"/>
          </w:tcPr>
          <w:p w:rsidR="00121BAC" w:rsidRPr="0013795E" w:rsidRDefault="00121BAC" w:rsidP="004A598D">
            <w:pPr>
              <w:jc w:val="right"/>
            </w:pPr>
            <w:r>
              <w:t>24.1</w:t>
            </w:r>
          </w:p>
        </w:tc>
        <w:tc>
          <w:tcPr>
            <w:tcW w:w="1710" w:type="dxa"/>
          </w:tcPr>
          <w:p w:rsidR="00121BAC" w:rsidRPr="0013795E" w:rsidRDefault="00121BAC" w:rsidP="004A598D">
            <w:pPr>
              <w:jc w:val="right"/>
            </w:pPr>
            <w:r>
              <w:t>13.7</w:t>
            </w:r>
          </w:p>
        </w:tc>
      </w:tr>
      <w:tr w:rsidR="00121BAC" w:rsidRPr="0013795E" w:rsidTr="004A598D">
        <w:tc>
          <w:tcPr>
            <w:tcW w:w="1548" w:type="dxa"/>
          </w:tcPr>
          <w:p w:rsidR="00121BAC" w:rsidRPr="0013795E" w:rsidRDefault="00121BAC" w:rsidP="004A598D">
            <w:r w:rsidRPr="0013795E">
              <w:t>Fallow</w:t>
            </w:r>
          </w:p>
        </w:tc>
        <w:tc>
          <w:tcPr>
            <w:tcW w:w="1260" w:type="dxa"/>
          </w:tcPr>
          <w:p w:rsidR="00121BAC" w:rsidRPr="0013795E" w:rsidRDefault="00121BAC" w:rsidP="004A598D">
            <w:pPr>
              <w:jc w:val="right"/>
            </w:pPr>
            <w:r w:rsidRPr="0013795E">
              <w:t>13.2</w:t>
            </w:r>
          </w:p>
        </w:tc>
        <w:tc>
          <w:tcPr>
            <w:tcW w:w="1170" w:type="dxa"/>
          </w:tcPr>
          <w:p w:rsidR="00121BAC" w:rsidRPr="0013795E" w:rsidRDefault="00121BAC" w:rsidP="004A598D">
            <w:pPr>
              <w:jc w:val="right"/>
            </w:pPr>
            <w:r w:rsidRPr="0013795E">
              <w:t>25.6</w:t>
            </w:r>
          </w:p>
        </w:tc>
        <w:tc>
          <w:tcPr>
            <w:tcW w:w="1710" w:type="dxa"/>
          </w:tcPr>
          <w:p w:rsidR="00121BAC" w:rsidRPr="0013795E" w:rsidRDefault="00121BAC" w:rsidP="004A598D">
            <w:pPr>
              <w:jc w:val="right"/>
            </w:pPr>
            <w:r>
              <w:t>19.4</w:t>
            </w:r>
          </w:p>
        </w:tc>
      </w:tr>
      <w:tr w:rsidR="00121BAC" w:rsidRPr="0013795E" w:rsidTr="004A598D">
        <w:tc>
          <w:tcPr>
            <w:tcW w:w="1548" w:type="dxa"/>
          </w:tcPr>
          <w:p w:rsidR="00121BAC" w:rsidRPr="0013795E" w:rsidRDefault="00121BAC" w:rsidP="004A598D">
            <w:r w:rsidRPr="0013795E">
              <w:t>Mean</w:t>
            </w:r>
          </w:p>
        </w:tc>
        <w:tc>
          <w:tcPr>
            <w:tcW w:w="1260" w:type="dxa"/>
          </w:tcPr>
          <w:p w:rsidR="00121BAC" w:rsidRPr="0013795E" w:rsidRDefault="00121BAC" w:rsidP="004A598D">
            <w:pPr>
              <w:jc w:val="right"/>
            </w:pPr>
            <w:r w:rsidRPr="0013795E">
              <w:t>8.2</w:t>
            </w:r>
          </w:p>
        </w:tc>
        <w:tc>
          <w:tcPr>
            <w:tcW w:w="1170" w:type="dxa"/>
          </w:tcPr>
          <w:p w:rsidR="00121BAC" w:rsidRPr="0013795E" w:rsidRDefault="00121BAC" w:rsidP="004A598D">
            <w:pPr>
              <w:jc w:val="right"/>
            </w:pPr>
            <w:r>
              <w:t>24.8</w:t>
            </w:r>
          </w:p>
        </w:tc>
        <w:tc>
          <w:tcPr>
            <w:tcW w:w="1710" w:type="dxa"/>
          </w:tcPr>
          <w:p w:rsidR="00121BAC" w:rsidRPr="0013795E" w:rsidRDefault="00121BAC" w:rsidP="004A598D">
            <w:pPr>
              <w:jc w:val="right"/>
            </w:pPr>
            <w:r>
              <w:t>16.5</w:t>
            </w:r>
          </w:p>
        </w:tc>
      </w:tr>
      <w:tr w:rsidR="00121BAC" w:rsidRPr="0013795E" w:rsidTr="004A598D">
        <w:tc>
          <w:tcPr>
            <w:tcW w:w="1548" w:type="dxa"/>
          </w:tcPr>
          <w:p w:rsidR="00121BAC" w:rsidRPr="0013795E" w:rsidRDefault="00121BAC" w:rsidP="004A598D">
            <w:r w:rsidRPr="0013795E">
              <w:t>LSD 0.05</w:t>
            </w:r>
          </w:p>
        </w:tc>
        <w:tc>
          <w:tcPr>
            <w:tcW w:w="1260" w:type="dxa"/>
          </w:tcPr>
          <w:p w:rsidR="00121BAC" w:rsidRPr="0013795E" w:rsidRDefault="00121BAC" w:rsidP="004A598D">
            <w:pPr>
              <w:jc w:val="right"/>
            </w:pPr>
            <w:r w:rsidRPr="0013795E">
              <w:t>NS</w:t>
            </w:r>
          </w:p>
        </w:tc>
        <w:tc>
          <w:tcPr>
            <w:tcW w:w="1170" w:type="dxa"/>
          </w:tcPr>
          <w:p w:rsidR="00121BAC" w:rsidRPr="0013795E" w:rsidRDefault="00121BAC" w:rsidP="004A598D">
            <w:pPr>
              <w:jc w:val="right"/>
            </w:pPr>
            <w:r w:rsidRPr="0013795E">
              <w:t>NS</w:t>
            </w:r>
          </w:p>
        </w:tc>
        <w:tc>
          <w:tcPr>
            <w:tcW w:w="1710" w:type="dxa"/>
          </w:tcPr>
          <w:p w:rsidR="00121BAC" w:rsidRPr="0013795E" w:rsidRDefault="00121BAC" w:rsidP="004A598D">
            <w:pPr>
              <w:jc w:val="right"/>
            </w:pPr>
            <w:r w:rsidRPr="0013795E">
              <w:t>NS</w:t>
            </w:r>
          </w:p>
        </w:tc>
      </w:tr>
    </w:tbl>
    <w:p w:rsidR="00121BAC" w:rsidRDefault="00121BAC"/>
    <w:p w:rsidR="00121BAC" w:rsidRDefault="00121BAC" w:rsidP="00121BAC">
      <w:pPr>
        <w:pStyle w:val="ListParagraph"/>
        <w:ind w:left="0"/>
      </w:pPr>
      <w:proofErr w:type="gramStart"/>
      <w:r w:rsidRPr="00121BAC">
        <w:rPr>
          <w:b/>
        </w:rPr>
        <w:t>Table 7.</w:t>
      </w:r>
      <w:proofErr w:type="gramEnd"/>
      <w:r>
        <w:t xml:space="preserve">  </w:t>
      </w:r>
      <w:proofErr w:type="gramStart"/>
      <w:r>
        <w:t xml:space="preserve">Results from the commercially available </w:t>
      </w:r>
      <w:proofErr w:type="spellStart"/>
      <w:r>
        <w:t>camelina</w:t>
      </w:r>
      <w:proofErr w:type="spellEnd"/>
      <w:r>
        <w:t xml:space="preserve"> variety trials in 2009 at </w:t>
      </w:r>
      <w:proofErr w:type="spellStart"/>
      <w:r>
        <w:t>Lingle</w:t>
      </w:r>
      <w:proofErr w:type="spellEnd"/>
      <w:r>
        <w:t xml:space="preserve"> and Spotted Horse, WY.</w:t>
      </w:r>
      <w:proofErr w:type="gramEnd"/>
      <w:r>
        <w:t xml:space="preserve"> 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2"/>
        <w:gridCol w:w="929"/>
        <w:gridCol w:w="784"/>
        <w:gridCol w:w="902"/>
        <w:gridCol w:w="811"/>
        <w:gridCol w:w="902"/>
        <w:gridCol w:w="992"/>
        <w:gridCol w:w="1039"/>
        <w:gridCol w:w="1359"/>
      </w:tblGrid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7C01F1" w:rsidRDefault="00121BAC" w:rsidP="004A598D">
            <w:pPr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 </w:t>
            </w:r>
          </w:p>
        </w:tc>
        <w:tc>
          <w:tcPr>
            <w:tcW w:w="5320" w:type="dxa"/>
            <w:gridSpan w:val="6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----------------------------</w:t>
            </w:r>
            <w:proofErr w:type="spellStart"/>
            <w:r w:rsidRPr="007C01F1">
              <w:rPr>
                <w:bCs/>
                <w:color w:val="000000"/>
              </w:rPr>
              <w:t>Lingle</w:t>
            </w:r>
            <w:proofErr w:type="spellEnd"/>
            <w:r w:rsidRPr="007C01F1">
              <w:rPr>
                <w:bCs/>
                <w:color w:val="000000"/>
              </w:rPr>
              <w:t xml:space="preserve"> Irrigated --------------------------</w:t>
            </w:r>
          </w:p>
        </w:tc>
        <w:tc>
          <w:tcPr>
            <w:tcW w:w="2398" w:type="dxa"/>
            <w:gridSpan w:val="2"/>
          </w:tcPr>
          <w:p w:rsidR="00121BAC" w:rsidRPr="007C01F1" w:rsidRDefault="00121BAC" w:rsidP="004A598D">
            <w:pPr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 xml:space="preserve">Spotted Horse </w:t>
            </w:r>
            <w:proofErr w:type="spellStart"/>
            <w:r w:rsidRPr="007C01F1">
              <w:rPr>
                <w:bCs/>
                <w:color w:val="000000"/>
              </w:rPr>
              <w:t>Rainfed</w:t>
            </w:r>
            <w:proofErr w:type="spellEnd"/>
          </w:p>
        </w:tc>
      </w:tr>
      <w:tr w:rsidR="00121BAC" w:rsidTr="004A598D">
        <w:trPr>
          <w:trHeight w:val="833"/>
        </w:trPr>
        <w:tc>
          <w:tcPr>
            <w:tcW w:w="1262" w:type="dxa"/>
            <w:vAlign w:val="bottom"/>
          </w:tcPr>
          <w:p w:rsidR="00121BAC" w:rsidRPr="007C01F1" w:rsidRDefault="00121BAC" w:rsidP="004A598D">
            <w:pPr>
              <w:rPr>
                <w:color w:val="000000"/>
              </w:rPr>
            </w:pPr>
            <w:r w:rsidRPr="007C01F1">
              <w:rPr>
                <w:color w:val="000000"/>
              </w:rPr>
              <w:t> </w:t>
            </w:r>
          </w:p>
          <w:p w:rsidR="00121BAC" w:rsidRPr="007C01F1" w:rsidRDefault="00121BAC" w:rsidP="004A598D">
            <w:pPr>
              <w:rPr>
                <w:color w:val="000000"/>
              </w:rPr>
            </w:pPr>
            <w:r w:rsidRPr="007C01F1">
              <w:rPr>
                <w:bCs/>
                <w:color w:val="000000"/>
              </w:rPr>
              <w:t>Cultivar</w:t>
            </w:r>
          </w:p>
        </w:tc>
        <w:tc>
          <w:tcPr>
            <w:tcW w:w="929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 xml:space="preserve">Lodging 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%</w:t>
            </w:r>
          </w:p>
        </w:tc>
        <w:tc>
          <w:tcPr>
            <w:tcW w:w="784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Stand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%</w:t>
            </w:r>
          </w:p>
        </w:tc>
        <w:tc>
          <w:tcPr>
            <w:tcW w:w="902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50% Bloom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June</w:t>
            </w:r>
          </w:p>
        </w:tc>
        <w:tc>
          <w:tcPr>
            <w:tcW w:w="811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Plant height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in</w:t>
            </w:r>
          </w:p>
        </w:tc>
        <w:tc>
          <w:tcPr>
            <w:tcW w:w="902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Test weight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lbs/</w:t>
            </w:r>
            <w:proofErr w:type="spellStart"/>
            <w:r w:rsidRPr="007C01F1">
              <w:rPr>
                <w:bCs/>
                <w:color w:val="000000"/>
              </w:rPr>
              <w:t>bu</w:t>
            </w:r>
            <w:proofErr w:type="spellEnd"/>
          </w:p>
        </w:tc>
        <w:tc>
          <w:tcPr>
            <w:tcW w:w="992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Grain yield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lbs/acre</w:t>
            </w:r>
          </w:p>
        </w:tc>
        <w:tc>
          <w:tcPr>
            <w:tcW w:w="1039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Plant height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in</w:t>
            </w:r>
          </w:p>
        </w:tc>
        <w:tc>
          <w:tcPr>
            <w:tcW w:w="1359" w:type="dxa"/>
            <w:vAlign w:val="bottom"/>
          </w:tcPr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Grain yield</w:t>
            </w:r>
          </w:p>
          <w:p w:rsidR="00121BAC" w:rsidRPr="007C01F1" w:rsidRDefault="00121BAC" w:rsidP="004A59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1F1">
              <w:rPr>
                <w:bCs/>
                <w:color w:val="000000"/>
              </w:rPr>
              <w:t>lbs/acre</w:t>
            </w:r>
          </w:p>
        </w:tc>
      </w:tr>
      <w:tr w:rsidR="00121BAC" w:rsidTr="004A598D">
        <w:trPr>
          <w:trHeight w:val="263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Celine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33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75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38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47.8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1225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28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392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C81">
              <w:rPr>
                <w:color w:val="000000"/>
              </w:rPr>
              <w:t>Ligena</w:t>
            </w:r>
            <w:proofErr w:type="spellEnd"/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50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81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36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47.4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1048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30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378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C81">
              <w:rPr>
                <w:color w:val="000000"/>
              </w:rPr>
              <w:t>Calena</w:t>
            </w:r>
            <w:proofErr w:type="spellEnd"/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14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78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37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49.9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1022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29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443</w:t>
            </w:r>
          </w:p>
        </w:tc>
      </w:tr>
      <w:tr w:rsidR="00121BAC" w:rsidTr="004A598D">
        <w:trPr>
          <w:trHeight w:val="263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Cheyenne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25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81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37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49.9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965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29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349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MT</w:t>
            </w:r>
            <w:r>
              <w:rPr>
                <w:color w:val="000000"/>
              </w:rPr>
              <w:t>-</w:t>
            </w:r>
            <w:r w:rsidRPr="00B85C81">
              <w:rPr>
                <w:color w:val="000000"/>
              </w:rPr>
              <w:t>5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30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84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7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37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49.7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938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26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261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Jungle Gold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53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79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9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36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50.1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801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28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254</w:t>
            </w:r>
          </w:p>
        </w:tc>
      </w:tr>
      <w:tr w:rsidR="00121BAC" w:rsidTr="004A598D">
        <w:trPr>
          <w:trHeight w:val="263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MT</w:t>
            </w:r>
            <w:r>
              <w:rPr>
                <w:color w:val="000000"/>
              </w:rPr>
              <w:t>-</w:t>
            </w:r>
            <w:r w:rsidRPr="00B85C81">
              <w:rPr>
                <w:color w:val="000000"/>
              </w:rPr>
              <w:t>1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 xml:space="preserve"> ---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28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261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C81">
              <w:rPr>
                <w:b/>
                <w:bCs/>
                <w:color w:val="000000"/>
              </w:rPr>
              <w:t>Mean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34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80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37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49.1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1000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28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334</w:t>
            </w:r>
          </w:p>
        </w:tc>
      </w:tr>
      <w:tr w:rsidR="00121BAC" w:rsidTr="004A598D">
        <w:trPr>
          <w:trHeight w:val="279"/>
        </w:trPr>
        <w:tc>
          <w:tcPr>
            <w:tcW w:w="1262" w:type="dxa"/>
            <w:vAlign w:val="bottom"/>
          </w:tcPr>
          <w:p w:rsidR="00121BAC" w:rsidRPr="00B85C81" w:rsidRDefault="00121BAC" w:rsidP="004A59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C81">
              <w:rPr>
                <w:b/>
                <w:bCs/>
                <w:color w:val="000000"/>
              </w:rPr>
              <w:t>LSD (0.05)</w:t>
            </w:r>
          </w:p>
        </w:tc>
        <w:tc>
          <w:tcPr>
            <w:tcW w:w="92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26</w:t>
            </w:r>
          </w:p>
        </w:tc>
        <w:tc>
          <w:tcPr>
            <w:tcW w:w="784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8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0.5</w:t>
            </w:r>
          </w:p>
        </w:tc>
        <w:tc>
          <w:tcPr>
            <w:tcW w:w="811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NS</w:t>
            </w:r>
          </w:p>
        </w:tc>
        <w:tc>
          <w:tcPr>
            <w:tcW w:w="90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NS</w:t>
            </w:r>
          </w:p>
        </w:tc>
        <w:tc>
          <w:tcPr>
            <w:tcW w:w="992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189</w:t>
            </w:r>
          </w:p>
        </w:tc>
        <w:tc>
          <w:tcPr>
            <w:tcW w:w="103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3</w:t>
            </w:r>
          </w:p>
        </w:tc>
        <w:tc>
          <w:tcPr>
            <w:tcW w:w="1359" w:type="dxa"/>
            <w:vAlign w:val="bottom"/>
          </w:tcPr>
          <w:p w:rsidR="00121BAC" w:rsidRPr="00B85C81" w:rsidRDefault="00121BAC" w:rsidP="004A598D">
            <w:pPr>
              <w:jc w:val="center"/>
              <w:rPr>
                <w:color w:val="000000"/>
                <w:sz w:val="24"/>
                <w:szCs w:val="24"/>
              </w:rPr>
            </w:pPr>
            <w:r w:rsidRPr="00B85C81">
              <w:rPr>
                <w:color w:val="000000"/>
              </w:rPr>
              <w:t>210</w:t>
            </w:r>
          </w:p>
        </w:tc>
      </w:tr>
    </w:tbl>
    <w:p w:rsidR="00121BAC" w:rsidRDefault="00121BAC" w:rsidP="00121BAC">
      <w:pPr>
        <w:pStyle w:val="ListParagraph"/>
      </w:pPr>
      <w:r>
        <w:t xml:space="preserve">Harvest index for </w:t>
      </w:r>
      <w:proofErr w:type="spellStart"/>
      <w:r>
        <w:t>Lingle</w:t>
      </w:r>
      <w:proofErr w:type="spellEnd"/>
      <w:r>
        <w:t xml:space="preserve"> irrigated = 31.6, Spotted Horse </w:t>
      </w:r>
      <w:proofErr w:type="spellStart"/>
      <w:r>
        <w:t>rainfed</w:t>
      </w:r>
      <w:proofErr w:type="spellEnd"/>
      <w:r>
        <w:t xml:space="preserve"> = 13.6</w:t>
      </w:r>
    </w:p>
    <w:p w:rsidR="00FA1FE4" w:rsidRDefault="00FA1FE4">
      <w:pPr>
        <w:rPr>
          <w:b/>
        </w:rPr>
      </w:pPr>
      <w:r>
        <w:rPr>
          <w:b/>
        </w:rPr>
        <w:br w:type="page"/>
      </w:r>
    </w:p>
    <w:p w:rsidR="00121BAC" w:rsidRPr="00763502" w:rsidRDefault="00121BAC" w:rsidP="00121BAC">
      <w:pPr>
        <w:pStyle w:val="ListParagraph"/>
        <w:ind w:left="0"/>
      </w:pPr>
      <w:proofErr w:type="gramStart"/>
      <w:r w:rsidRPr="00121BAC">
        <w:rPr>
          <w:b/>
        </w:rPr>
        <w:lastRenderedPageBreak/>
        <w:t>Table 8.</w:t>
      </w:r>
      <w:proofErr w:type="gramEnd"/>
      <w:r>
        <w:t xml:space="preserve">  Summary of results from a </w:t>
      </w:r>
      <w:r>
        <w:rPr>
          <w:sz w:val="24"/>
        </w:rPr>
        <w:t xml:space="preserve">2009 advanced experimental line irrigated nurseries at </w:t>
      </w:r>
      <w:r w:rsidRPr="00683AD0">
        <w:rPr>
          <w:color w:val="000000"/>
        </w:rPr>
        <w:t xml:space="preserve">SAREC near </w:t>
      </w:r>
      <w:proofErr w:type="spellStart"/>
      <w:proofErr w:type="gramStart"/>
      <w:r w:rsidRPr="00683AD0">
        <w:rPr>
          <w:color w:val="000000"/>
        </w:rPr>
        <w:t>Lingle</w:t>
      </w:r>
      <w:proofErr w:type="spellEnd"/>
      <w:r w:rsidRPr="00683AD0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Pr="00683AD0">
        <w:rPr>
          <w:color w:val="000000"/>
        </w:rPr>
        <w:t>WY.</w:t>
      </w:r>
    </w:p>
    <w:p w:rsidR="00121BAC" w:rsidRDefault="00121BAC" w:rsidP="00121BAC">
      <w:pPr>
        <w:pStyle w:val="ListParagraph"/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2586"/>
        <w:gridCol w:w="2700"/>
      </w:tblGrid>
      <w:tr w:rsidR="00121BAC" w:rsidTr="004A598D">
        <w:tc>
          <w:tcPr>
            <w:tcW w:w="2634" w:type="dxa"/>
          </w:tcPr>
          <w:p w:rsidR="00121BAC" w:rsidRPr="009E58F0" w:rsidRDefault="00121BAC" w:rsidP="004A598D">
            <w:pPr>
              <w:rPr>
                <w:b/>
              </w:rPr>
            </w:pPr>
          </w:p>
          <w:p w:rsidR="00121BAC" w:rsidRPr="009E58F0" w:rsidRDefault="00121BAC" w:rsidP="004A598D">
            <w:pPr>
              <w:rPr>
                <w:b/>
              </w:rPr>
            </w:pPr>
            <w:r w:rsidRPr="009E58F0">
              <w:rPr>
                <w:b/>
              </w:rPr>
              <w:t>Top three lines</w:t>
            </w:r>
          </w:p>
        </w:tc>
        <w:tc>
          <w:tcPr>
            <w:tcW w:w="2586" w:type="dxa"/>
          </w:tcPr>
          <w:p w:rsidR="00121BAC" w:rsidRPr="009E58F0" w:rsidRDefault="00121BAC" w:rsidP="004A598D">
            <w:pPr>
              <w:jc w:val="center"/>
              <w:rPr>
                <w:b/>
              </w:rPr>
            </w:pPr>
            <w:proofErr w:type="spellStart"/>
            <w:r w:rsidRPr="009E58F0">
              <w:rPr>
                <w:b/>
              </w:rPr>
              <w:t>Lingle</w:t>
            </w:r>
            <w:proofErr w:type="spellEnd"/>
          </w:p>
          <w:p w:rsidR="00121BAC" w:rsidRPr="009E58F0" w:rsidRDefault="00121BAC" w:rsidP="004A598D">
            <w:pPr>
              <w:jc w:val="center"/>
              <w:rPr>
                <w:b/>
              </w:rPr>
            </w:pPr>
            <w:r w:rsidRPr="009E58F0">
              <w:rPr>
                <w:b/>
              </w:rPr>
              <w:t>Yield lb/acre</w:t>
            </w:r>
          </w:p>
        </w:tc>
        <w:tc>
          <w:tcPr>
            <w:tcW w:w="2700" w:type="dxa"/>
          </w:tcPr>
          <w:p w:rsidR="00121BAC" w:rsidRPr="009E58F0" w:rsidRDefault="00121BAC" w:rsidP="004A598D">
            <w:pPr>
              <w:jc w:val="center"/>
              <w:rPr>
                <w:b/>
              </w:rPr>
            </w:pPr>
            <w:r w:rsidRPr="009E58F0">
              <w:rPr>
                <w:b/>
              </w:rPr>
              <w:t>Lagrange</w:t>
            </w:r>
          </w:p>
          <w:p w:rsidR="00121BAC" w:rsidRPr="009E58F0" w:rsidRDefault="00121BAC" w:rsidP="004A598D">
            <w:pPr>
              <w:jc w:val="center"/>
              <w:rPr>
                <w:b/>
              </w:rPr>
            </w:pPr>
            <w:r w:rsidRPr="009E58F0">
              <w:rPr>
                <w:b/>
              </w:rPr>
              <w:t>Yield lb/acre</w:t>
            </w:r>
          </w:p>
        </w:tc>
      </w:tr>
      <w:tr w:rsidR="00121BAC" w:rsidTr="004A598D">
        <w:tc>
          <w:tcPr>
            <w:tcW w:w="2634" w:type="dxa"/>
          </w:tcPr>
          <w:p w:rsidR="00121BAC" w:rsidRPr="00763502" w:rsidRDefault="00121BAC" w:rsidP="004A598D">
            <w:r w:rsidRPr="00763502">
              <w:t>CS6</w:t>
            </w:r>
          </w:p>
        </w:tc>
        <w:tc>
          <w:tcPr>
            <w:tcW w:w="2586" w:type="dxa"/>
          </w:tcPr>
          <w:p w:rsidR="00121BAC" w:rsidRPr="00763502" w:rsidRDefault="00121BAC" w:rsidP="004A598D">
            <w:pPr>
              <w:jc w:val="center"/>
            </w:pPr>
            <w:r w:rsidRPr="00763502">
              <w:t>2300</w:t>
            </w:r>
          </w:p>
        </w:tc>
        <w:tc>
          <w:tcPr>
            <w:tcW w:w="2700" w:type="dxa"/>
          </w:tcPr>
          <w:p w:rsidR="00121BAC" w:rsidRPr="00763502" w:rsidRDefault="00121BAC" w:rsidP="004A598D">
            <w:pPr>
              <w:jc w:val="center"/>
            </w:pPr>
            <w:r w:rsidRPr="00763502">
              <w:t>457</w:t>
            </w:r>
          </w:p>
        </w:tc>
      </w:tr>
      <w:tr w:rsidR="00121BAC" w:rsidTr="004A598D">
        <w:tc>
          <w:tcPr>
            <w:tcW w:w="2634" w:type="dxa"/>
          </w:tcPr>
          <w:p w:rsidR="00121BAC" w:rsidRPr="00763502" w:rsidRDefault="00121BAC" w:rsidP="004A598D">
            <w:r w:rsidRPr="00763502">
              <w:t>CS32</w:t>
            </w:r>
          </w:p>
        </w:tc>
        <w:tc>
          <w:tcPr>
            <w:tcW w:w="2586" w:type="dxa"/>
          </w:tcPr>
          <w:p w:rsidR="00121BAC" w:rsidRPr="00763502" w:rsidRDefault="00121BAC" w:rsidP="004A598D">
            <w:pPr>
              <w:jc w:val="center"/>
            </w:pPr>
            <w:r w:rsidRPr="00763502">
              <w:t>2173</w:t>
            </w:r>
          </w:p>
        </w:tc>
        <w:tc>
          <w:tcPr>
            <w:tcW w:w="2700" w:type="dxa"/>
          </w:tcPr>
          <w:p w:rsidR="00121BAC" w:rsidRPr="00763502" w:rsidRDefault="00121BAC" w:rsidP="004A598D">
            <w:pPr>
              <w:jc w:val="center"/>
            </w:pPr>
            <w:r w:rsidRPr="00763502">
              <w:t>447</w:t>
            </w:r>
          </w:p>
        </w:tc>
      </w:tr>
      <w:tr w:rsidR="00121BAC" w:rsidTr="004A598D">
        <w:tc>
          <w:tcPr>
            <w:tcW w:w="2634" w:type="dxa"/>
          </w:tcPr>
          <w:p w:rsidR="00121BAC" w:rsidRPr="00763502" w:rsidRDefault="00121BAC" w:rsidP="004A598D">
            <w:r w:rsidRPr="00763502">
              <w:t>CS2</w:t>
            </w:r>
          </w:p>
        </w:tc>
        <w:tc>
          <w:tcPr>
            <w:tcW w:w="2586" w:type="dxa"/>
          </w:tcPr>
          <w:p w:rsidR="00121BAC" w:rsidRPr="00763502" w:rsidRDefault="00121BAC" w:rsidP="004A598D">
            <w:pPr>
              <w:jc w:val="center"/>
            </w:pPr>
            <w:r w:rsidRPr="00763502">
              <w:t>2163</w:t>
            </w:r>
          </w:p>
        </w:tc>
        <w:tc>
          <w:tcPr>
            <w:tcW w:w="2700" w:type="dxa"/>
          </w:tcPr>
          <w:p w:rsidR="00121BAC" w:rsidRPr="00763502" w:rsidRDefault="00121BAC" w:rsidP="004A598D">
            <w:pPr>
              <w:jc w:val="center"/>
            </w:pPr>
          </w:p>
        </w:tc>
      </w:tr>
      <w:tr w:rsidR="00121BAC" w:rsidTr="004A598D">
        <w:tc>
          <w:tcPr>
            <w:tcW w:w="2634" w:type="dxa"/>
          </w:tcPr>
          <w:p w:rsidR="00121BAC" w:rsidRPr="00763502" w:rsidRDefault="00121BAC" w:rsidP="004A598D">
            <w:r w:rsidRPr="00763502">
              <w:t>CS33</w:t>
            </w:r>
          </w:p>
        </w:tc>
        <w:tc>
          <w:tcPr>
            <w:tcW w:w="2586" w:type="dxa"/>
          </w:tcPr>
          <w:p w:rsidR="00121BAC" w:rsidRPr="00763502" w:rsidRDefault="00121BAC" w:rsidP="004A598D">
            <w:pPr>
              <w:jc w:val="center"/>
            </w:pPr>
          </w:p>
        </w:tc>
        <w:tc>
          <w:tcPr>
            <w:tcW w:w="2700" w:type="dxa"/>
          </w:tcPr>
          <w:p w:rsidR="00121BAC" w:rsidRPr="00763502" w:rsidRDefault="00121BAC" w:rsidP="004A598D">
            <w:pPr>
              <w:jc w:val="center"/>
            </w:pPr>
            <w:r w:rsidRPr="00763502">
              <w:t>434</w:t>
            </w:r>
          </w:p>
        </w:tc>
      </w:tr>
      <w:tr w:rsidR="00121BAC" w:rsidTr="004A598D">
        <w:tc>
          <w:tcPr>
            <w:tcW w:w="2634" w:type="dxa"/>
          </w:tcPr>
          <w:p w:rsidR="00121BAC" w:rsidRPr="009E58F0" w:rsidRDefault="00121BAC" w:rsidP="004A598D">
            <w:pPr>
              <w:rPr>
                <w:b/>
              </w:rPr>
            </w:pPr>
            <w:r w:rsidRPr="009E58F0">
              <w:rPr>
                <w:b/>
              </w:rPr>
              <w:t>Trial mean</w:t>
            </w:r>
          </w:p>
        </w:tc>
        <w:tc>
          <w:tcPr>
            <w:tcW w:w="2586" w:type="dxa"/>
          </w:tcPr>
          <w:p w:rsidR="00121BAC" w:rsidRDefault="00121BAC" w:rsidP="004A598D">
            <w:pPr>
              <w:jc w:val="center"/>
            </w:pPr>
            <w:r>
              <w:t>2004</w:t>
            </w:r>
          </w:p>
        </w:tc>
        <w:tc>
          <w:tcPr>
            <w:tcW w:w="2700" w:type="dxa"/>
          </w:tcPr>
          <w:p w:rsidR="00121BAC" w:rsidRDefault="00121BAC" w:rsidP="004A598D">
            <w:pPr>
              <w:jc w:val="center"/>
            </w:pPr>
            <w:r>
              <w:t>378</w:t>
            </w:r>
          </w:p>
        </w:tc>
      </w:tr>
      <w:tr w:rsidR="00121BAC" w:rsidTr="004A598D">
        <w:tc>
          <w:tcPr>
            <w:tcW w:w="2634" w:type="dxa"/>
          </w:tcPr>
          <w:p w:rsidR="00121BAC" w:rsidRPr="009E58F0" w:rsidRDefault="00121BAC" w:rsidP="004A598D">
            <w:pPr>
              <w:rPr>
                <w:b/>
              </w:rPr>
            </w:pPr>
            <w:r w:rsidRPr="009E58F0">
              <w:rPr>
                <w:b/>
              </w:rPr>
              <w:t>LSD (0.05)</w:t>
            </w:r>
          </w:p>
        </w:tc>
        <w:tc>
          <w:tcPr>
            <w:tcW w:w="2586" w:type="dxa"/>
          </w:tcPr>
          <w:p w:rsidR="00121BAC" w:rsidRDefault="00121BAC" w:rsidP="004A598D">
            <w:pPr>
              <w:jc w:val="center"/>
            </w:pPr>
            <w:r>
              <w:t>304</w:t>
            </w:r>
          </w:p>
        </w:tc>
        <w:tc>
          <w:tcPr>
            <w:tcW w:w="2700" w:type="dxa"/>
          </w:tcPr>
          <w:p w:rsidR="00121BAC" w:rsidRDefault="00121BAC" w:rsidP="004A598D">
            <w:pPr>
              <w:jc w:val="center"/>
            </w:pPr>
            <w:r>
              <w:t>108</w:t>
            </w:r>
          </w:p>
        </w:tc>
      </w:tr>
    </w:tbl>
    <w:p w:rsidR="00121BAC" w:rsidRDefault="00121BAC" w:rsidP="00121BAC"/>
    <w:p w:rsidR="00121BAC" w:rsidRPr="009527BD" w:rsidRDefault="00121BAC" w:rsidP="00FA1FE4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proofErr w:type="gramStart"/>
      <w:r>
        <w:rPr>
          <w:b/>
        </w:rPr>
        <w:t>Table 9</w:t>
      </w:r>
      <w:r w:rsidRPr="009527BD">
        <w:rPr>
          <w:b/>
        </w:rPr>
        <w:t>.</w:t>
      </w:r>
      <w:proofErr w:type="gramEnd"/>
      <w:r w:rsidRPr="009527BD">
        <w:rPr>
          <w:b/>
        </w:rPr>
        <w:t xml:space="preserve"> </w:t>
      </w:r>
      <w:r w:rsidRPr="009527BD">
        <w:t>Dry matter intake and g</w:t>
      </w:r>
      <w:r w:rsidRPr="009527BD">
        <w:rPr>
          <w:szCs w:val="20"/>
        </w:rPr>
        <w:t>rowth performance of developing replacement beef heifers fed supplements</w:t>
      </w:r>
      <w:r w:rsidRPr="009527BD">
        <w:rPr>
          <w:szCs w:val="20"/>
          <w:vertAlign w:val="superscript"/>
        </w:rPr>
        <w:t>1</w:t>
      </w:r>
      <w:r w:rsidRPr="009527BD">
        <w:rPr>
          <w:szCs w:val="20"/>
        </w:rPr>
        <w:t xml:space="preserve"> for 60 d before </w:t>
      </w:r>
      <w:r>
        <w:rPr>
          <w:szCs w:val="20"/>
        </w:rPr>
        <w:t>the breeding season</w:t>
      </w:r>
      <w:r w:rsidRPr="009527BD">
        <w:rPr>
          <w:szCs w:val="20"/>
        </w:rPr>
        <w:t>.</w:t>
      </w:r>
    </w:p>
    <w:tbl>
      <w:tblPr>
        <w:tblW w:w="5000" w:type="pct"/>
        <w:tblLook w:val="04A0"/>
      </w:tblPr>
      <w:tblGrid>
        <w:gridCol w:w="2692"/>
        <w:gridCol w:w="1383"/>
        <w:gridCol w:w="1655"/>
        <w:gridCol w:w="1538"/>
        <w:gridCol w:w="927"/>
        <w:gridCol w:w="1381"/>
      </w:tblGrid>
      <w:tr w:rsidR="00121BAC" w:rsidRPr="009527BD" w:rsidTr="004A598D">
        <w:trPr>
          <w:trHeight w:val="330"/>
        </w:trPr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rPr>
                <w:b/>
                <w:bCs/>
              </w:rPr>
            </w:pPr>
            <w:r w:rsidRPr="009527BD">
              <w:rPr>
                <w:b/>
                <w:bCs/>
              </w:rPr>
              <w:t> </w:t>
            </w:r>
          </w:p>
        </w:tc>
        <w:tc>
          <w:tcPr>
            <w:tcW w:w="72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Control</w:t>
            </w:r>
          </w:p>
        </w:tc>
        <w:tc>
          <w:tcPr>
            <w:tcW w:w="86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proofErr w:type="spellStart"/>
            <w:r w:rsidRPr="009527BD">
              <w:t>Camelina</w:t>
            </w:r>
            <w:proofErr w:type="spellEnd"/>
          </w:p>
        </w:tc>
        <w:tc>
          <w:tcPr>
            <w:tcW w:w="80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Glycerin</w:t>
            </w: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5A1735" w:rsidRDefault="00121BAC" w:rsidP="00FA1FE4">
            <w:pPr>
              <w:spacing w:after="0" w:line="240" w:lineRule="auto"/>
              <w:rPr>
                <w:vertAlign w:val="superscript"/>
              </w:rPr>
            </w:pPr>
            <w:r w:rsidRPr="009527BD">
              <w:t>SE</w:t>
            </w:r>
            <w:r>
              <w:rPr>
                <w:vertAlign w:val="superscript"/>
              </w:rPr>
              <w:t>2</w:t>
            </w:r>
          </w:p>
        </w:tc>
        <w:tc>
          <w:tcPr>
            <w:tcW w:w="72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rPr>
                <w:i/>
              </w:rPr>
              <w:t>P</w:t>
            </w:r>
            <w:r w:rsidRPr="009527BD">
              <w:t>-value</w:t>
            </w:r>
          </w:p>
        </w:tc>
      </w:tr>
      <w:tr w:rsidR="00121BAC" w:rsidRPr="009527BD" w:rsidTr="004A598D">
        <w:trPr>
          <w:trHeight w:val="330"/>
        </w:trPr>
        <w:tc>
          <w:tcPr>
            <w:tcW w:w="14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DMI, kg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</w:tr>
      <w:tr w:rsidR="00121BAC" w:rsidRPr="009527BD" w:rsidTr="004A598D">
        <w:trPr>
          <w:trHeight w:val="330"/>
        </w:trPr>
        <w:tc>
          <w:tcPr>
            <w:tcW w:w="14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 w:rsidRPr="009527BD">
              <w:t xml:space="preserve">Forage </w:t>
            </w:r>
          </w:p>
        </w:tc>
        <w:tc>
          <w:tcPr>
            <w:tcW w:w="7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6.67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6.64</w:t>
            </w:r>
          </w:p>
        </w:tc>
        <w:tc>
          <w:tcPr>
            <w:tcW w:w="80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6.67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0.01</w:t>
            </w:r>
          </w:p>
        </w:tc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0.187</w:t>
            </w:r>
          </w:p>
        </w:tc>
      </w:tr>
      <w:tr w:rsidR="00121BAC" w:rsidRPr="009527BD" w:rsidTr="004A598D">
        <w:trPr>
          <w:trHeight w:val="330"/>
        </w:trPr>
        <w:tc>
          <w:tcPr>
            <w:tcW w:w="14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 w:rsidRPr="009527BD">
              <w:t>Total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7.60</w:t>
            </w:r>
          </w:p>
        </w:tc>
        <w:tc>
          <w:tcPr>
            <w:tcW w:w="8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7.57</w:t>
            </w:r>
          </w:p>
        </w:tc>
        <w:tc>
          <w:tcPr>
            <w:tcW w:w="8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7.56</w:t>
            </w:r>
          </w:p>
        </w:tc>
        <w:tc>
          <w:tcPr>
            <w:tcW w:w="4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0.01</w:t>
            </w: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0.089</w:t>
            </w:r>
          </w:p>
        </w:tc>
      </w:tr>
      <w:tr w:rsidR="00121BAC" w:rsidRPr="009527BD" w:rsidTr="004A598D">
        <w:trPr>
          <w:trHeight w:val="330"/>
        </w:trPr>
        <w:tc>
          <w:tcPr>
            <w:tcW w:w="14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BW, kg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4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</w:tr>
      <w:tr w:rsidR="00121BAC" w:rsidRPr="009527BD" w:rsidTr="004A598D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 w:rsidRPr="009527BD">
              <w:t>d 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297.4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296.7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296.5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0.585</w:t>
            </w:r>
          </w:p>
        </w:tc>
      </w:tr>
      <w:tr w:rsidR="00121BAC" w:rsidRPr="009527BD" w:rsidTr="004A598D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 w:rsidRPr="009527BD">
              <w:t>d 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330.5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328.2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32</w:t>
            </w:r>
            <w:r>
              <w:t>9</w:t>
            </w:r>
            <w:r w:rsidRPr="009527BD">
              <w:t>.</w:t>
            </w:r>
            <w: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</w:t>
            </w:r>
            <w: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0.440</w:t>
            </w:r>
          </w:p>
        </w:tc>
      </w:tr>
      <w:tr w:rsidR="00121BAC" w:rsidRPr="009527BD" w:rsidTr="004A598D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 w:rsidRPr="009527BD">
              <w:t>d 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356.2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354.6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356.3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0.495</w:t>
            </w:r>
          </w:p>
        </w:tc>
      </w:tr>
      <w:tr w:rsidR="00121BAC" w:rsidRPr="009527BD" w:rsidTr="004A598D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  <w:ind w:left="450"/>
            </w:pPr>
            <w:r>
              <w:t>60-d</w:t>
            </w:r>
            <w:r w:rsidRPr="009527BD">
              <w:t xml:space="preserve"> gain</w:t>
            </w:r>
            <w:r>
              <w:t>, kg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59.3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57.</w:t>
            </w:r>
            <w: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58.</w:t>
            </w:r>
            <w: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0.221</w:t>
            </w:r>
          </w:p>
        </w:tc>
      </w:tr>
      <w:tr w:rsidR="00121BAC" w:rsidRPr="009527BD" w:rsidTr="004A598D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ADG, kg/d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</w:p>
        </w:tc>
      </w:tr>
      <w:tr w:rsidR="00121BAC" w:rsidRPr="009527BD" w:rsidTr="004A598D">
        <w:trPr>
          <w:trHeight w:val="375"/>
        </w:trPr>
        <w:tc>
          <w:tcPr>
            <w:tcW w:w="14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DF5450" w:rsidRDefault="00121BAC" w:rsidP="00FA1FE4">
            <w:pPr>
              <w:spacing w:after="0" w:line="240" w:lineRule="auto"/>
              <w:ind w:left="450"/>
            </w:pPr>
            <w:r>
              <w:t>d 0 to 30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1.14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1.09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1.12</w:t>
            </w:r>
          </w:p>
        </w:tc>
        <w:tc>
          <w:tcPr>
            <w:tcW w:w="4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0.04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0.589</w:t>
            </w:r>
          </w:p>
        </w:tc>
      </w:tr>
      <w:tr w:rsidR="00121BAC" w:rsidRPr="009527BD" w:rsidTr="004A598D">
        <w:trPr>
          <w:trHeight w:val="375"/>
        </w:trPr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DF5450" w:rsidRDefault="00121BAC" w:rsidP="00FA1FE4">
            <w:pPr>
              <w:spacing w:after="0" w:line="240" w:lineRule="auto"/>
              <w:ind w:left="450"/>
            </w:pPr>
            <w:r>
              <w:t>d 31 to 60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0.85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FA1FE4">
            <w:pPr>
              <w:spacing w:after="0" w:line="240" w:lineRule="auto"/>
            </w:pPr>
            <w:r w:rsidRPr="009527BD">
              <w:t>0.630</w:t>
            </w:r>
          </w:p>
        </w:tc>
      </w:tr>
    </w:tbl>
    <w:p w:rsidR="00121BAC" w:rsidRDefault="00121BAC" w:rsidP="00FA1FE4">
      <w:pPr>
        <w:autoSpaceDE w:val="0"/>
        <w:autoSpaceDN w:val="0"/>
        <w:adjustRightInd w:val="0"/>
        <w:spacing w:after="0" w:line="240" w:lineRule="auto"/>
      </w:pPr>
      <w:r w:rsidRPr="009527BD">
        <w:rPr>
          <w:vertAlign w:val="superscript"/>
        </w:rPr>
        <w:t>1</w:t>
      </w:r>
      <w:r w:rsidRPr="009527BD">
        <w:t xml:space="preserve">Supplements (as-fed) consisted of 50% finely ground corn and 50% soybean meal (Control), mechanically extracted </w:t>
      </w:r>
      <w:proofErr w:type="spellStart"/>
      <w:r w:rsidRPr="009527BD">
        <w:t>camelina</w:t>
      </w:r>
      <w:proofErr w:type="spellEnd"/>
      <w:r w:rsidRPr="009527BD">
        <w:t xml:space="preserve"> meal (</w:t>
      </w:r>
      <w:proofErr w:type="spellStart"/>
      <w:r w:rsidRPr="009527BD">
        <w:t>Camelina</w:t>
      </w:r>
      <w:proofErr w:type="spellEnd"/>
      <w:r w:rsidRPr="009527BD">
        <w:t>), and 50% soybean meal, 33% finely ground corn, 15% crude glycerin, and 2% corn gluten meal (Glycerin).</w:t>
      </w:r>
      <w:r>
        <w:t xml:space="preserve"> Supplements were provided at </w:t>
      </w:r>
      <w:r w:rsidRPr="009527BD">
        <w:t>0.95 and 0.99 kg·heifer</w:t>
      </w:r>
      <w:r w:rsidRPr="009527BD">
        <w:rPr>
          <w:vertAlign w:val="superscript"/>
        </w:rPr>
        <w:t>-1</w:t>
      </w:r>
      <w:r w:rsidRPr="009527BD">
        <w:t>·d</w:t>
      </w:r>
      <w:r w:rsidRPr="009527BD">
        <w:rPr>
          <w:vertAlign w:val="superscript"/>
        </w:rPr>
        <w:t>-1</w:t>
      </w:r>
      <w:r w:rsidRPr="009527BD">
        <w:t xml:space="preserve"> </w:t>
      </w:r>
      <w:r>
        <w:t xml:space="preserve">(as-fed) </w:t>
      </w:r>
      <w:r w:rsidRPr="009527BD">
        <w:t>during d 0 through 30 and d 31 through 60, respectively.</w:t>
      </w:r>
      <w:r>
        <w:t xml:space="preserve"> Hay was offered immediately after supplements were consumed. On the next morning, a</w:t>
      </w:r>
      <w:r w:rsidRPr="00481B5F">
        <w:t>ny hay remain</w:t>
      </w:r>
      <w:r>
        <w:t xml:space="preserve">ing in the bunks </w:t>
      </w:r>
      <w:r w:rsidRPr="00481B5F">
        <w:t xml:space="preserve">was </w:t>
      </w:r>
      <w:r>
        <w:t xml:space="preserve">removed before offering the supplements, </w:t>
      </w:r>
      <w:r w:rsidRPr="00481B5F">
        <w:t>weighed and recorded for forage DMI estimate.</w:t>
      </w:r>
    </w:p>
    <w:p w:rsidR="00121BAC" w:rsidRDefault="00121BAC" w:rsidP="00FA1FE4">
      <w:pPr>
        <w:spacing w:after="0" w:line="240" w:lineRule="auto"/>
        <w:ind w:firstLine="720"/>
      </w:pPr>
      <w:r>
        <w:rPr>
          <w:vertAlign w:val="superscript"/>
        </w:rPr>
        <w:t>2</w:t>
      </w:r>
      <w:r>
        <w:t>n = 10/treatment.</w:t>
      </w:r>
    </w:p>
    <w:p w:rsidR="00121BAC" w:rsidRDefault="00121BAC">
      <w:pPr>
        <w:rPr>
          <w:b/>
        </w:rPr>
      </w:pPr>
      <w:r>
        <w:rPr>
          <w:b/>
        </w:rPr>
        <w:br w:type="page"/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b/>
        </w:rPr>
        <w:lastRenderedPageBreak/>
        <w:t>Table 10</w:t>
      </w:r>
      <w:r w:rsidRPr="009527BD">
        <w:rPr>
          <w:b/>
        </w:rPr>
        <w:t>.</w:t>
      </w:r>
      <w:proofErr w:type="gramEnd"/>
      <w:r w:rsidRPr="009527BD">
        <w:rPr>
          <w:b/>
        </w:rPr>
        <w:t xml:space="preserve"> </w:t>
      </w:r>
      <w:r>
        <w:t xml:space="preserve">Mean </w:t>
      </w:r>
      <w:r w:rsidRPr="009527BD">
        <w:t>concentrations of fatty acids in plasma (mg of fatty acid/g of freeze dried plasma) of developing replacement beef heifers fed supplements</w:t>
      </w:r>
      <w:r w:rsidRPr="009527BD">
        <w:rPr>
          <w:vertAlign w:val="superscript"/>
        </w:rPr>
        <w:t>1</w:t>
      </w:r>
      <w:r w:rsidRPr="009527BD">
        <w:t xml:space="preserve"> for 60 d before </w:t>
      </w:r>
      <w:r>
        <w:t>the breeding season</w:t>
      </w:r>
      <w:r w:rsidRPr="009527BD">
        <w:t>.</w:t>
      </w:r>
    </w:p>
    <w:tbl>
      <w:tblPr>
        <w:tblW w:w="5000" w:type="pct"/>
        <w:tblLook w:val="01E0"/>
      </w:tblPr>
      <w:tblGrid>
        <w:gridCol w:w="2096"/>
        <w:gridCol w:w="1546"/>
        <w:gridCol w:w="1848"/>
        <w:gridCol w:w="1718"/>
        <w:gridCol w:w="1092"/>
        <w:gridCol w:w="1276"/>
      </w:tblGrid>
      <w:tr w:rsidR="00121BAC" w:rsidRPr="009527BD" w:rsidTr="004A598D">
        <w:trPr>
          <w:trHeight w:val="259"/>
        </w:trPr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9527BD" w:rsidRDefault="00121BAC" w:rsidP="00121BAC">
            <w:pPr>
              <w:autoSpaceDE w:val="0"/>
              <w:autoSpaceDN w:val="0"/>
              <w:adjustRightInd w:val="0"/>
              <w:spacing w:after="0" w:line="240" w:lineRule="auto"/>
            </w:pPr>
            <w:r w:rsidRPr="009527BD">
              <w:t>Fatty acids</w:t>
            </w:r>
          </w:p>
        </w:tc>
        <w:tc>
          <w:tcPr>
            <w:tcW w:w="80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9527BD" w:rsidRDefault="00121BAC" w:rsidP="00121BAC">
            <w:pPr>
              <w:autoSpaceDE w:val="0"/>
              <w:autoSpaceDN w:val="0"/>
              <w:adjustRightInd w:val="0"/>
              <w:spacing w:after="0" w:line="240" w:lineRule="auto"/>
            </w:pPr>
            <w:r w:rsidRPr="009527BD">
              <w:t>Control</w:t>
            </w:r>
          </w:p>
        </w:tc>
        <w:tc>
          <w:tcPr>
            <w:tcW w:w="96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9527BD" w:rsidRDefault="00121BAC" w:rsidP="00121BAC">
            <w:pPr>
              <w:spacing w:after="0" w:line="240" w:lineRule="auto"/>
            </w:pPr>
            <w:proofErr w:type="spellStart"/>
            <w:r w:rsidRPr="009527BD">
              <w:t>Camelina</w:t>
            </w:r>
            <w:proofErr w:type="spellEnd"/>
          </w:p>
        </w:tc>
        <w:tc>
          <w:tcPr>
            <w:tcW w:w="89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Glycerin</w:t>
            </w:r>
          </w:p>
        </w:tc>
        <w:tc>
          <w:tcPr>
            <w:tcW w:w="57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5A1735" w:rsidRDefault="00121BAC" w:rsidP="00121BAC">
            <w:pPr>
              <w:spacing w:after="0" w:line="240" w:lineRule="auto"/>
              <w:rPr>
                <w:vertAlign w:val="superscript"/>
              </w:rPr>
            </w:pPr>
            <w:r>
              <w:t>SE</w:t>
            </w:r>
            <w:r>
              <w:rPr>
                <w:vertAlign w:val="superscript"/>
              </w:rPr>
              <w:t>2</w:t>
            </w:r>
          </w:p>
        </w:tc>
        <w:tc>
          <w:tcPr>
            <w:tcW w:w="6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rPr>
                <w:i/>
              </w:rPr>
              <w:t>P-</w:t>
            </w:r>
            <w:r w:rsidRPr="009527BD">
              <w:t>value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14:0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0.20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0.16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0.17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0.018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0.540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14:1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0.13</w:t>
            </w:r>
            <w:r>
              <w:t>4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</w:t>
            </w:r>
            <w:r>
              <w:t>17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0.12</w:t>
            </w:r>
            <w:r>
              <w:t>4</w:t>
            </w:r>
            <w:r w:rsidRPr="009527BD">
              <w:rPr>
                <w:vertAlign w:val="superscript"/>
              </w:rPr>
              <w:t>ab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0.004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0.014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15:0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0.17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0.18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0.17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0.007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0.502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15:1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0.22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0.23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0.22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0.006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0.409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16:0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2.59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2.76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2.59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0.051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0.047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16:1</w:t>
            </w:r>
            <w:r w:rsidRPr="009527BD">
              <w:rPr>
                <w:i/>
              </w:rPr>
              <w:t>trans-</w:t>
            </w:r>
            <w:r w:rsidRPr="009527BD">
              <w:t>9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0.51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0.44</w:t>
            </w:r>
            <w:r w:rsidRPr="009527BD">
              <w:rPr>
                <w:vertAlign w:val="superscript"/>
              </w:rPr>
              <w:t>ab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0.025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0.042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16:1</w:t>
            </w:r>
            <w:r w:rsidRPr="009527BD">
              <w:rPr>
                <w:i/>
              </w:rPr>
              <w:t>cis-</w:t>
            </w:r>
            <w:r w:rsidRPr="009527BD">
              <w:t>9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0.25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0.27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0.25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0.008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0.096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17:0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0.17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0.15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0.16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0.005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0.304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17:1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0.06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0.06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0.06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0.006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0.944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3.36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3.85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3.48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0.151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0.070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trans-</w:t>
            </w:r>
            <w:r w:rsidRPr="009527BD">
              <w:t>11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0.18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0.35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0.037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0.003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</w:t>
            </w:r>
            <w:r w:rsidRPr="009527BD">
              <w:rPr>
                <w:i/>
              </w:rPr>
              <w:t>1trans-</w:t>
            </w:r>
            <w:r w:rsidRPr="009527BD">
              <w:t>12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0.04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</w:t>
            </w:r>
            <w:r w:rsidRPr="009527BD">
              <w:rPr>
                <w:vertAlign w:val="superscript"/>
              </w:rPr>
              <w:t>ab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0.010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0.067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trans-</w:t>
            </w:r>
            <w:r w:rsidRPr="009527BD">
              <w:t>13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0.15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0.025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0.002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cis-</w:t>
            </w:r>
            <w:r w:rsidRPr="009527BD">
              <w:t>9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2.26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3.00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2.39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0.194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0.025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cis-</w:t>
            </w:r>
            <w:r w:rsidRPr="009527BD">
              <w:t>10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0.12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0.005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0.032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cis-</w:t>
            </w:r>
            <w:r w:rsidRPr="009527BD">
              <w:t>11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0.10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0.032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0.027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18:1</w:t>
            </w:r>
            <w:r w:rsidRPr="009527BD">
              <w:rPr>
                <w:i/>
              </w:rPr>
              <w:t>cis-</w:t>
            </w:r>
            <w:r w:rsidRPr="009527BD">
              <w:t>12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0.04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0.003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0.007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0.002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18:2</w:t>
            </w:r>
            <w:r w:rsidRPr="009527BD">
              <w:rPr>
                <w:i/>
              </w:rPr>
              <w:t>n-</w:t>
            </w:r>
            <w:r w:rsidRPr="009527BD">
              <w:t>6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4.67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5.18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4.60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0.129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0.009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20:1</w:t>
            </w:r>
            <w:r w:rsidRPr="009527BD">
              <w:rPr>
                <w:i/>
              </w:rPr>
              <w:t>n-</w:t>
            </w:r>
            <w:r w:rsidRPr="009527BD">
              <w:t>9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0.14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0.15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0.14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0.009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0.615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18:3</w:t>
            </w:r>
            <w:r w:rsidRPr="009527BD">
              <w:rPr>
                <w:i/>
              </w:rPr>
              <w:t>n-</w:t>
            </w:r>
            <w:r w:rsidRPr="009527BD">
              <w:t>3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1.85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2.47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1.99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0.137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0.012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CLA</w:t>
            </w:r>
            <w:r>
              <w:rPr>
                <w:vertAlign w:val="superscript"/>
              </w:rPr>
              <w:t>3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0.004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0.003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  <w:rPr>
                <w:i/>
              </w:rPr>
            </w:pPr>
            <w:r w:rsidRPr="009527BD">
              <w:t>20:3</w:t>
            </w:r>
            <w:r w:rsidRPr="009527BD">
              <w:rPr>
                <w:i/>
              </w:rPr>
              <w:t>n-</w:t>
            </w:r>
            <w:r w:rsidRPr="009527BD">
              <w:t>6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0.30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0.29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0.29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0.008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0.595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22:1</w:t>
            </w:r>
            <w:r w:rsidRPr="009527BD">
              <w:rPr>
                <w:i/>
              </w:rPr>
              <w:t>n-</w:t>
            </w:r>
            <w:r w:rsidRPr="009527BD">
              <w:t>9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0.002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</w:t>
            </w:r>
            <w:r>
              <w:t>1</w:t>
            </w:r>
          </w:p>
        </w:tc>
      </w:tr>
      <w:tr w:rsidR="00121BAC" w:rsidRPr="009527BD" w:rsidTr="004A598D">
        <w:trPr>
          <w:trHeight w:val="273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20:4</w:t>
            </w:r>
            <w:r w:rsidRPr="009527BD">
              <w:rPr>
                <w:i/>
              </w:rPr>
              <w:t>n-</w:t>
            </w:r>
            <w:r w:rsidRPr="009527BD">
              <w:t>6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0.60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0.65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0.61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0.016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0.071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20:5</w:t>
            </w:r>
            <w:r w:rsidRPr="009527BD">
              <w:rPr>
                <w:i/>
              </w:rPr>
              <w:t>n-</w:t>
            </w:r>
            <w:r w:rsidRPr="009527BD">
              <w:t>3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0.37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0.43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0.38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0.019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0.121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22:5</w:t>
            </w:r>
            <w:r w:rsidRPr="009527BD">
              <w:rPr>
                <w:i/>
              </w:rPr>
              <w:t>n-</w:t>
            </w:r>
            <w:r w:rsidRPr="009527BD">
              <w:t>3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0.27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0.26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0.27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0.008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0.415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22:6</w:t>
            </w:r>
            <w:r w:rsidRPr="009527BD">
              <w:rPr>
                <w:i/>
              </w:rPr>
              <w:t>n-</w:t>
            </w:r>
            <w:r w:rsidRPr="009527BD">
              <w:t>6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0.10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0.10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0.11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0.009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0.695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Unidentified</w:t>
            </w:r>
            <w:r>
              <w:rPr>
                <w:vertAlign w:val="superscript"/>
              </w:rPr>
              <w:t>4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1.84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2.20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2.08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0.305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0.583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rPr>
                <w:i/>
              </w:rPr>
              <w:t>Trans-</w:t>
            </w:r>
            <w:r w:rsidRPr="009527BD">
              <w:t>isomers</w:t>
            </w:r>
            <w:r>
              <w:rPr>
                <w:vertAlign w:val="superscript"/>
              </w:rPr>
              <w:t>5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1.07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0.71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0.103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0.008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rPr>
                <w:i/>
              </w:rPr>
              <w:t>Cis-</w:t>
            </w:r>
            <w:r w:rsidRPr="009527BD">
              <w:t>isomers</w:t>
            </w:r>
            <w:r>
              <w:rPr>
                <w:vertAlign w:val="superscript"/>
              </w:rPr>
              <w:t>6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9.14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11.19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9.38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0.473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0.010</w:t>
            </w:r>
          </w:p>
        </w:tc>
      </w:tr>
      <w:tr w:rsidR="00121BAC" w:rsidRPr="009527BD" w:rsidTr="004A598D">
        <w:trPr>
          <w:trHeight w:val="259"/>
        </w:trPr>
        <w:tc>
          <w:tcPr>
            <w:tcW w:w="1094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UFA</w:t>
            </w:r>
            <w:r>
              <w:rPr>
                <w:vertAlign w:val="superscript"/>
              </w:rPr>
              <w:t>7</w:t>
            </w:r>
          </w:p>
        </w:tc>
        <w:tc>
          <w:tcPr>
            <w:tcW w:w="80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11.95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14.60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12.31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0.627</w:t>
            </w:r>
          </w:p>
        </w:tc>
        <w:tc>
          <w:tcPr>
            <w:tcW w:w="666" w:type="pct"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0.012</w:t>
            </w:r>
          </w:p>
        </w:tc>
      </w:tr>
      <w:tr w:rsidR="00121BAC" w:rsidRPr="009527BD" w:rsidTr="004A598D">
        <w:trPr>
          <w:trHeight w:val="288"/>
        </w:trPr>
        <w:tc>
          <w:tcPr>
            <w:tcW w:w="1094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Total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20.29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23.90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20.96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1.069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0.033</w:t>
            </w:r>
          </w:p>
        </w:tc>
      </w:tr>
    </w:tbl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</w:pPr>
      <w:r w:rsidRPr="009527BD">
        <w:rPr>
          <w:vertAlign w:val="superscript"/>
        </w:rPr>
        <w:t>1</w:t>
      </w:r>
      <w:r w:rsidRPr="009527BD">
        <w:t xml:space="preserve">Supplements (as-fed) consisted of 50% finely ground corn and 50% soybean meal (Control), mechanically extracted </w:t>
      </w:r>
      <w:proofErr w:type="spellStart"/>
      <w:r w:rsidRPr="009527BD">
        <w:t>camelina</w:t>
      </w:r>
      <w:proofErr w:type="spellEnd"/>
      <w:r w:rsidRPr="009527BD">
        <w:t xml:space="preserve"> meal (</w:t>
      </w:r>
      <w:proofErr w:type="spellStart"/>
      <w:r w:rsidRPr="009527BD">
        <w:t>Camelina</w:t>
      </w:r>
      <w:proofErr w:type="spellEnd"/>
      <w:r w:rsidRPr="009527BD">
        <w:t>), and 50% soybean meal, 33% finely ground corn, 15% crude glycerin, and 2% corn gluten meal (Glycerin).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vertAlign w:val="superscript"/>
        </w:rPr>
        <w:t>2</w:t>
      </w:r>
      <w:r>
        <w:t xml:space="preserve">n = 5 pens/treatment with 3 sampling times (d 0, </w:t>
      </w:r>
      <w:r w:rsidRPr="009527BD">
        <w:t>30</w:t>
      </w:r>
      <w:r>
        <w:t>,</w:t>
      </w:r>
      <w:r w:rsidRPr="009527BD">
        <w:t xml:space="preserve"> and 60</w:t>
      </w:r>
      <w:r>
        <w:t>) in both yrs = 30/treatment.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3</w:t>
      </w:r>
      <w:r w:rsidRPr="009527BD">
        <w:t xml:space="preserve">CLA = </w:t>
      </w:r>
      <w:r>
        <w:rPr>
          <w:i/>
        </w:rPr>
        <w:t>c</w:t>
      </w:r>
      <w:r w:rsidRPr="009527BD">
        <w:rPr>
          <w:i/>
        </w:rPr>
        <w:t>is-</w:t>
      </w:r>
      <w:r w:rsidRPr="009527BD">
        <w:t xml:space="preserve">9, </w:t>
      </w:r>
      <w:r w:rsidRPr="009527BD">
        <w:rPr>
          <w:i/>
        </w:rPr>
        <w:t>trans-</w:t>
      </w:r>
      <w:r w:rsidRPr="009527BD">
        <w:t>11-CLA</w:t>
      </w:r>
      <w:r>
        <w:t>.</w:t>
      </w:r>
    </w:p>
    <w:p w:rsidR="00121BAC" w:rsidRPr="0090442B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4</w:t>
      </w:r>
      <w:r w:rsidRPr="0090442B">
        <w:t>Fatty acids not identified with purified standards</w:t>
      </w:r>
      <w:r>
        <w:t>.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5</w:t>
      </w:r>
      <w:r w:rsidRPr="009527BD">
        <w:rPr>
          <w:i/>
        </w:rPr>
        <w:t>Trans</w:t>
      </w:r>
      <w:r w:rsidRPr="009527BD">
        <w:t>-isomers = 16:1</w:t>
      </w:r>
      <w:r w:rsidRPr="009527BD">
        <w:rPr>
          <w:i/>
        </w:rPr>
        <w:t>trans-</w:t>
      </w:r>
      <w:r w:rsidRPr="009527BD">
        <w:t>9 + 18:1</w:t>
      </w:r>
      <w:r w:rsidRPr="009527BD">
        <w:rPr>
          <w:i/>
        </w:rPr>
        <w:t>trans-</w:t>
      </w:r>
      <w:r w:rsidRPr="009527BD">
        <w:t>10 + 18:1</w:t>
      </w:r>
      <w:r w:rsidRPr="009527BD">
        <w:rPr>
          <w:i/>
        </w:rPr>
        <w:t>trans-</w:t>
      </w:r>
      <w:r w:rsidRPr="009527BD">
        <w:t>11 + 18:1</w:t>
      </w:r>
      <w:r w:rsidRPr="009527BD">
        <w:rPr>
          <w:i/>
        </w:rPr>
        <w:t>trans-</w:t>
      </w:r>
      <w:r w:rsidRPr="009527BD">
        <w:t>12 + 18:1</w:t>
      </w:r>
      <w:r w:rsidRPr="009527BD">
        <w:rPr>
          <w:i/>
        </w:rPr>
        <w:t>trans-</w:t>
      </w:r>
      <w:r w:rsidRPr="009527BD">
        <w:t>13.</w:t>
      </w:r>
    </w:p>
    <w:p w:rsidR="00121BAC" w:rsidRPr="0060659A" w:rsidRDefault="00121BAC" w:rsidP="00121BAC">
      <w:pPr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60659A">
        <w:rPr>
          <w:vertAlign w:val="superscript"/>
          <w:lang w:val="pt-BR"/>
        </w:rPr>
        <w:t>6</w:t>
      </w:r>
      <w:r w:rsidRPr="0060659A">
        <w:rPr>
          <w:i/>
          <w:lang w:val="pt-BR"/>
        </w:rPr>
        <w:t>Cis</w:t>
      </w:r>
      <w:r w:rsidRPr="0060659A">
        <w:rPr>
          <w:lang w:val="pt-BR"/>
        </w:rPr>
        <w:t>-isomers = 16:1</w:t>
      </w:r>
      <w:r w:rsidRPr="0060659A">
        <w:rPr>
          <w:i/>
          <w:lang w:val="pt-BR"/>
        </w:rPr>
        <w:t>cis-</w:t>
      </w:r>
      <w:r w:rsidRPr="0060659A">
        <w:rPr>
          <w:lang w:val="pt-BR"/>
        </w:rPr>
        <w:t>9 + 18:1</w:t>
      </w:r>
      <w:r w:rsidRPr="0060659A">
        <w:rPr>
          <w:i/>
          <w:lang w:val="pt-BR"/>
        </w:rPr>
        <w:t>cis-</w:t>
      </w:r>
      <w:r w:rsidRPr="0060659A">
        <w:rPr>
          <w:lang w:val="pt-BR"/>
        </w:rPr>
        <w:t>9 + 18:1</w:t>
      </w:r>
      <w:r w:rsidRPr="0060659A">
        <w:rPr>
          <w:i/>
          <w:lang w:val="pt-BR"/>
        </w:rPr>
        <w:t>cis-</w:t>
      </w:r>
      <w:r w:rsidRPr="0060659A">
        <w:rPr>
          <w:lang w:val="pt-BR"/>
        </w:rPr>
        <w:t>10 + 18:1</w:t>
      </w:r>
      <w:r w:rsidRPr="0060659A">
        <w:rPr>
          <w:i/>
          <w:lang w:val="pt-BR"/>
        </w:rPr>
        <w:t>cis-</w:t>
      </w:r>
      <w:r w:rsidRPr="0060659A">
        <w:rPr>
          <w:lang w:val="pt-BR"/>
        </w:rPr>
        <w:t>11 + 18:1</w:t>
      </w:r>
      <w:r w:rsidRPr="0060659A">
        <w:rPr>
          <w:i/>
          <w:lang w:val="pt-BR"/>
        </w:rPr>
        <w:t>cis-</w:t>
      </w:r>
      <w:r w:rsidRPr="0060659A">
        <w:rPr>
          <w:lang w:val="pt-BR"/>
        </w:rPr>
        <w:t>12 + 18:2</w:t>
      </w:r>
      <w:r w:rsidRPr="0060659A">
        <w:rPr>
          <w:i/>
          <w:lang w:val="pt-BR"/>
        </w:rPr>
        <w:t>n-</w:t>
      </w:r>
      <w:r w:rsidRPr="0060659A">
        <w:rPr>
          <w:lang w:val="pt-BR"/>
        </w:rPr>
        <w:t>6 + 18:3</w:t>
      </w:r>
      <w:r w:rsidRPr="0060659A">
        <w:rPr>
          <w:i/>
          <w:lang w:val="pt-BR"/>
        </w:rPr>
        <w:t>n-</w:t>
      </w:r>
      <w:r w:rsidRPr="0060659A">
        <w:rPr>
          <w:lang w:val="pt-BR"/>
        </w:rPr>
        <w:t>3.</w:t>
      </w:r>
    </w:p>
    <w:p w:rsidR="00121BAC" w:rsidRDefault="00121BAC" w:rsidP="00121BAC">
      <w:pPr>
        <w:autoSpaceDE w:val="0"/>
        <w:autoSpaceDN w:val="0"/>
        <w:adjustRightInd w:val="0"/>
        <w:spacing w:after="0" w:line="240" w:lineRule="auto"/>
        <w:rPr>
          <w:lang w:val="pt-BR"/>
        </w:rPr>
      </w:pPr>
      <w:r>
        <w:rPr>
          <w:vertAlign w:val="superscript"/>
          <w:lang w:val="pt-BR"/>
        </w:rPr>
        <w:t>7</w:t>
      </w:r>
      <w:r w:rsidRPr="009527BD">
        <w:rPr>
          <w:lang w:val="pt-BR"/>
        </w:rPr>
        <w:t xml:space="preserve">UFA = unsaturated </w:t>
      </w:r>
      <w:r>
        <w:rPr>
          <w:lang w:val="pt-BR"/>
        </w:rPr>
        <w:t>fatty acids</w:t>
      </w:r>
      <w:r w:rsidRPr="009527BD">
        <w:rPr>
          <w:lang w:val="pt-BR"/>
        </w:rPr>
        <w:t xml:space="preserve"> = 14:1 + 15:1 + 17:1 + 20:1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9 + CLA + 20:3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6 + 22:1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9 + 20:4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6 + 20:5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3 + 22:5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>3 + 22:6</w:t>
      </w:r>
      <w:r w:rsidRPr="009527BD">
        <w:rPr>
          <w:i/>
          <w:lang w:val="pt-BR"/>
        </w:rPr>
        <w:t>n-</w:t>
      </w:r>
      <w:r w:rsidRPr="009527BD">
        <w:rPr>
          <w:lang w:val="pt-BR"/>
        </w:rPr>
        <w:t xml:space="preserve">6 + </w:t>
      </w:r>
      <w:r>
        <w:rPr>
          <w:i/>
          <w:lang w:val="pt-BR"/>
        </w:rPr>
        <w:t>t</w:t>
      </w:r>
      <w:r w:rsidRPr="009527BD">
        <w:rPr>
          <w:i/>
          <w:lang w:val="pt-BR"/>
        </w:rPr>
        <w:t>rans</w:t>
      </w:r>
      <w:r w:rsidRPr="009527BD">
        <w:rPr>
          <w:lang w:val="pt-BR"/>
        </w:rPr>
        <w:t xml:space="preserve">-isomers + </w:t>
      </w:r>
      <w:r>
        <w:rPr>
          <w:i/>
          <w:lang w:val="pt-BR"/>
        </w:rPr>
        <w:t>c</w:t>
      </w:r>
      <w:r w:rsidRPr="009527BD">
        <w:rPr>
          <w:i/>
          <w:lang w:val="pt-BR"/>
        </w:rPr>
        <w:t>is</w:t>
      </w:r>
      <w:r w:rsidRPr="009527BD">
        <w:rPr>
          <w:lang w:val="pt-BR"/>
        </w:rPr>
        <w:t xml:space="preserve">-isomers. </w:t>
      </w:r>
    </w:p>
    <w:p w:rsidR="00121BAC" w:rsidRPr="004C01E3" w:rsidRDefault="00121BAC" w:rsidP="00121BAC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9527BD">
        <w:rPr>
          <w:vertAlign w:val="superscript"/>
        </w:rPr>
        <w:lastRenderedPageBreak/>
        <w:t>a,</w:t>
      </w:r>
      <w:proofErr w:type="gramEnd"/>
      <w:r w:rsidRPr="009527BD">
        <w:rPr>
          <w:vertAlign w:val="superscript"/>
        </w:rPr>
        <w:t>b</w:t>
      </w:r>
      <w:r>
        <w:t>Within</w:t>
      </w:r>
      <w:proofErr w:type="spellEnd"/>
      <w:r>
        <w:t xml:space="preserve"> a row,</w:t>
      </w:r>
      <w:r w:rsidRPr="009527BD">
        <w:t xml:space="preserve"> means without a common superscript differ (</w:t>
      </w:r>
      <w:r w:rsidRPr="00F70B0B">
        <w:rPr>
          <w:i/>
        </w:rPr>
        <w:t>P</w:t>
      </w:r>
      <w:r w:rsidRPr="009527BD">
        <w:t xml:space="preserve"> &lt; 0.05).</w:t>
      </w:r>
    </w:p>
    <w:p w:rsidR="00121BAC" w:rsidRPr="004C01E3" w:rsidRDefault="00121BAC" w:rsidP="00121BAC">
      <w:pPr>
        <w:suppressLineNumbers/>
        <w:autoSpaceDE w:val="0"/>
        <w:autoSpaceDN w:val="0"/>
        <w:adjustRightInd w:val="0"/>
        <w:spacing w:after="0" w:line="240" w:lineRule="auto"/>
      </w:pP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  <w:rPr>
          <w:b/>
          <w:sz w:val="32"/>
        </w:rPr>
      </w:pPr>
      <w:proofErr w:type="gramStart"/>
      <w:r>
        <w:rPr>
          <w:b/>
        </w:rPr>
        <w:t>T</w:t>
      </w:r>
      <w:r w:rsidRPr="009527BD">
        <w:rPr>
          <w:b/>
        </w:rPr>
        <w:t xml:space="preserve">able </w:t>
      </w:r>
      <w:r>
        <w:rPr>
          <w:b/>
        </w:rPr>
        <w:t>11</w:t>
      </w:r>
      <w:r w:rsidRPr="009527BD">
        <w:rPr>
          <w:b/>
        </w:rPr>
        <w:t>.</w:t>
      </w:r>
      <w:proofErr w:type="gramEnd"/>
      <w:r w:rsidRPr="009527BD">
        <w:rPr>
          <w:b/>
        </w:rPr>
        <w:t xml:space="preserve"> </w:t>
      </w:r>
      <w:r w:rsidRPr="009527BD">
        <w:rPr>
          <w:szCs w:val="20"/>
        </w:rPr>
        <w:t xml:space="preserve">Mean concentrations of </w:t>
      </w:r>
      <w:r>
        <w:rPr>
          <w:szCs w:val="20"/>
        </w:rPr>
        <w:t>thyroid hormones (</w:t>
      </w:r>
      <w:r w:rsidRPr="009527BD">
        <w:rPr>
          <w:szCs w:val="20"/>
        </w:rPr>
        <w:t>T</w:t>
      </w:r>
      <w:r w:rsidRPr="009527BD">
        <w:rPr>
          <w:szCs w:val="20"/>
          <w:vertAlign w:val="subscript"/>
        </w:rPr>
        <w:t>4</w:t>
      </w:r>
      <w:r>
        <w:rPr>
          <w:szCs w:val="20"/>
        </w:rPr>
        <w:t xml:space="preserve"> and</w:t>
      </w:r>
      <w:r w:rsidRPr="009527BD">
        <w:rPr>
          <w:szCs w:val="20"/>
        </w:rPr>
        <w:t xml:space="preserve"> T</w:t>
      </w:r>
      <w:r w:rsidRPr="009527BD">
        <w:rPr>
          <w:szCs w:val="20"/>
          <w:vertAlign w:val="subscript"/>
        </w:rPr>
        <w:t>3</w:t>
      </w:r>
      <w:r>
        <w:rPr>
          <w:szCs w:val="20"/>
        </w:rPr>
        <w:t>),</w:t>
      </w:r>
      <w:r w:rsidRPr="009527BD">
        <w:rPr>
          <w:szCs w:val="20"/>
        </w:rPr>
        <w:t xml:space="preserve"> glucose, insulin</w:t>
      </w:r>
      <w:r>
        <w:rPr>
          <w:szCs w:val="20"/>
        </w:rPr>
        <w:t>,</w:t>
      </w:r>
      <w:r w:rsidRPr="009527BD">
        <w:rPr>
          <w:szCs w:val="20"/>
        </w:rPr>
        <w:t xml:space="preserve"> and </w:t>
      </w:r>
      <w:r>
        <w:rPr>
          <w:szCs w:val="20"/>
        </w:rPr>
        <w:t>β-</w:t>
      </w:r>
      <w:proofErr w:type="spellStart"/>
      <w:r>
        <w:rPr>
          <w:szCs w:val="20"/>
        </w:rPr>
        <w:t>hydroxybutyrate</w:t>
      </w:r>
      <w:proofErr w:type="spellEnd"/>
      <w:r w:rsidRPr="009527BD">
        <w:rPr>
          <w:szCs w:val="20"/>
        </w:rPr>
        <w:t xml:space="preserve"> </w:t>
      </w:r>
      <w:r>
        <w:rPr>
          <w:szCs w:val="20"/>
        </w:rPr>
        <w:t xml:space="preserve">(BHBA) </w:t>
      </w:r>
      <w:r w:rsidRPr="009527BD">
        <w:rPr>
          <w:szCs w:val="20"/>
        </w:rPr>
        <w:t>in serum of developing replacement beef heifers fed supplements</w:t>
      </w:r>
      <w:r w:rsidRPr="009527BD">
        <w:rPr>
          <w:szCs w:val="20"/>
          <w:vertAlign w:val="superscript"/>
        </w:rPr>
        <w:t>1</w:t>
      </w:r>
      <w:r w:rsidRPr="009527BD">
        <w:rPr>
          <w:szCs w:val="20"/>
        </w:rPr>
        <w:t xml:space="preserve"> for 60 d before </w:t>
      </w:r>
      <w:r>
        <w:rPr>
          <w:szCs w:val="20"/>
        </w:rPr>
        <w:t>the breeding season</w:t>
      </w:r>
      <w:r w:rsidRPr="009527BD">
        <w:rPr>
          <w:szCs w:val="20"/>
        </w:rPr>
        <w:t>.</w:t>
      </w:r>
    </w:p>
    <w:tbl>
      <w:tblPr>
        <w:tblW w:w="5000" w:type="pct"/>
        <w:jc w:val="center"/>
        <w:tblLook w:val="04A0"/>
      </w:tblPr>
      <w:tblGrid>
        <w:gridCol w:w="2601"/>
        <w:gridCol w:w="1402"/>
        <w:gridCol w:w="1676"/>
        <w:gridCol w:w="1557"/>
        <w:gridCol w:w="938"/>
        <w:gridCol w:w="1402"/>
      </w:tblGrid>
      <w:tr w:rsidR="00121BAC" w:rsidRPr="009527BD" w:rsidTr="004A598D">
        <w:trPr>
          <w:trHeight w:val="330"/>
          <w:jc w:val="center"/>
        </w:trPr>
        <w:tc>
          <w:tcPr>
            <w:tcW w:w="135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</w:p>
        </w:tc>
        <w:tc>
          <w:tcPr>
            <w:tcW w:w="73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Control</w:t>
            </w:r>
          </w:p>
        </w:tc>
        <w:tc>
          <w:tcPr>
            <w:tcW w:w="8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proofErr w:type="spellStart"/>
            <w:r w:rsidRPr="009527BD">
              <w:t>Camelina</w:t>
            </w:r>
            <w:proofErr w:type="spellEnd"/>
          </w:p>
        </w:tc>
        <w:tc>
          <w:tcPr>
            <w:tcW w:w="81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Glycerin</w:t>
            </w:r>
          </w:p>
        </w:tc>
        <w:tc>
          <w:tcPr>
            <w:tcW w:w="49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5A1735" w:rsidRDefault="00121BAC" w:rsidP="00121BAC">
            <w:pPr>
              <w:spacing w:after="0" w:line="240" w:lineRule="auto"/>
              <w:rPr>
                <w:vertAlign w:val="superscript"/>
              </w:rPr>
            </w:pPr>
            <w:r w:rsidRPr="009527BD">
              <w:t>SE</w:t>
            </w:r>
            <w:r>
              <w:rPr>
                <w:vertAlign w:val="superscript"/>
              </w:rPr>
              <w:t>2</w:t>
            </w:r>
          </w:p>
        </w:tc>
        <w:tc>
          <w:tcPr>
            <w:tcW w:w="73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rPr>
                <w:i/>
              </w:rPr>
              <w:t>P</w:t>
            </w:r>
            <w:r w:rsidRPr="009527BD">
              <w:t>-value</w:t>
            </w:r>
          </w:p>
        </w:tc>
      </w:tr>
      <w:tr w:rsidR="00121BAC" w:rsidRPr="009527BD" w:rsidTr="004A598D">
        <w:trPr>
          <w:trHeight w:val="330"/>
          <w:jc w:val="center"/>
        </w:trPr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T</w:t>
            </w:r>
            <w:r w:rsidRPr="009527BD">
              <w:rPr>
                <w:vertAlign w:val="subscript"/>
              </w:rPr>
              <w:t>4</w:t>
            </w:r>
            <w:r w:rsidRPr="009527BD">
              <w:t xml:space="preserve">, </w:t>
            </w:r>
            <w:proofErr w:type="spellStart"/>
            <w:r w:rsidRPr="009527BD">
              <w:t>ng</w:t>
            </w:r>
            <w:proofErr w:type="spellEnd"/>
            <w:r w:rsidRPr="009527BD">
              <w:t>/</w:t>
            </w:r>
            <w:proofErr w:type="spellStart"/>
            <w:r w:rsidRPr="009527BD">
              <w:t>mL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40.4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40.</w:t>
            </w:r>
            <w: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40.9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1.</w:t>
            </w:r>
            <w: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0.956</w:t>
            </w:r>
          </w:p>
        </w:tc>
      </w:tr>
      <w:tr w:rsidR="00121BAC" w:rsidRPr="009527BD" w:rsidTr="004A598D">
        <w:trPr>
          <w:trHeight w:val="330"/>
          <w:jc w:val="center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T</w:t>
            </w:r>
            <w:r w:rsidRPr="009527BD">
              <w:rPr>
                <w:vertAlign w:val="subscript"/>
              </w:rPr>
              <w:t>3</w:t>
            </w:r>
            <w:r w:rsidRPr="009527BD">
              <w:t xml:space="preserve">, </w:t>
            </w:r>
            <w:proofErr w:type="spellStart"/>
            <w:r w:rsidRPr="009527BD">
              <w:t>ng</w:t>
            </w:r>
            <w:proofErr w:type="spellEnd"/>
            <w:r w:rsidRPr="009527BD">
              <w:t>/</w:t>
            </w:r>
            <w:proofErr w:type="spellStart"/>
            <w:r w:rsidRPr="009527BD">
              <w:t>mL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0.89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0.97</w:t>
            </w:r>
            <w:r w:rsidRPr="009527BD">
              <w:rPr>
                <w:vertAlign w:val="superscript"/>
              </w:rPr>
              <w:t>b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0.90</w:t>
            </w:r>
            <w:r w:rsidRPr="009527BD">
              <w:rPr>
                <w:vertAlign w:val="superscript"/>
              </w:rPr>
              <w:t>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0.045</w:t>
            </w:r>
          </w:p>
        </w:tc>
      </w:tr>
      <w:tr w:rsidR="00121BAC" w:rsidRPr="009527BD" w:rsidTr="004A598D">
        <w:trPr>
          <w:trHeight w:val="315"/>
          <w:jc w:val="center"/>
        </w:trPr>
        <w:tc>
          <w:tcPr>
            <w:tcW w:w="13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Glucose, mg/</w:t>
            </w:r>
            <w:proofErr w:type="spellStart"/>
            <w:r w:rsidRPr="009527BD">
              <w:t>dL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66.6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67.0</w:t>
            </w:r>
          </w:p>
        </w:tc>
        <w:tc>
          <w:tcPr>
            <w:tcW w:w="8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6</w:t>
            </w:r>
            <w:r>
              <w:t>6</w:t>
            </w:r>
            <w:r w:rsidRPr="009527BD">
              <w:t>.</w:t>
            </w:r>
            <w:r>
              <w:t>0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0.7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0.585</w:t>
            </w:r>
          </w:p>
        </w:tc>
      </w:tr>
      <w:tr w:rsidR="00121BAC" w:rsidRPr="009527BD" w:rsidTr="004A598D">
        <w:trPr>
          <w:trHeight w:val="315"/>
          <w:jc w:val="center"/>
        </w:trPr>
        <w:tc>
          <w:tcPr>
            <w:tcW w:w="13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 xml:space="preserve">Insulin, </w:t>
            </w:r>
            <w:proofErr w:type="spellStart"/>
            <w:r w:rsidRPr="009527BD">
              <w:t>ng</w:t>
            </w:r>
            <w:proofErr w:type="spellEnd"/>
            <w:r w:rsidRPr="009527BD">
              <w:t>/</w:t>
            </w:r>
            <w:proofErr w:type="spellStart"/>
            <w:r w:rsidRPr="009527BD">
              <w:t>mL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0.12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0.11</w:t>
            </w:r>
          </w:p>
        </w:tc>
        <w:tc>
          <w:tcPr>
            <w:tcW w:w="8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0.10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0.01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0.440</w:t>
            </w:r>
          </w:p>
        </w:tc>
      </w:tr>
      <w:tr w:rsidR="00121BAC" w:rsidRPr="009527BD" w:rsidTr="004A598D">
        <w:trPr>
          <w:trHeight w:val="315"/>
          <w:jc w:val="center"/>
        </w:trPr>
        <w:tc>
          <w:tcPr>
            <w:tcW w:w="13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BHBA, µmol/L</w:t>
            </w: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139.</w:t>
            </w:r>
            <w:r>
              <w:t>5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140.</w:t>
            </w:r>
            <w:r>
              <w:t>3</w:t>
            </w:r>
          </w:p>
        </w:tc>
        <w:tc>
          <w:tcPr>
            <w:tcW w:w="8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148.</w:t>
            </w:r>
            <w:r>
              <w:t>2</w:t>
            </w: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5.3</w:t>
            </w: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0.461</w:t>
            </w:r>
          </w:p>
        </w:tc>
      </w:tr>
    </w:tbl>
    <w:p w:rsidR="00121BAC" w:rsidRDefault="00121BAC" w:rsidP="00121BAC">
      <w:pPr>
        <w:autoSpaceDE w:val="0"/>
        <w:autoSpaceDN w:val="0"/>
        <w:adjustRightInd w:val="0"/>
        <w:spacing w:after="0" w:line="240" w:lineRule="auto"/>
      </w:pPr>
      <w:r w:rsidRPr="009527BD">
        <w:rPr>
          <w:vertAlign w:val="superscript"/>
        </w:rPr>
        <w:t>1</w:t>
      </w:r>
      <w:r w:rsidRPr="009527BD">
        <w:t xml:space="preserve">Supplements (as-fed) consisted of 50% finely ground corn and 50% soybean meal (Control), mechanically extracted </w:t>
      </w:r>
      <w:proofErr w:type="spellStart"/>
      <w:r w:rsidRPr="009527BD">
        <w:t>camelina</w:t>
      </w:r>
      <w:proofErr w:type="spellEnd"/>
      <w:r w:rsidRPr="009527BD">
        <w:t xml:space="preserve"> meal (</w:t>
      </w:r>
      <w:proofErr w:type="spellStart"/>
      <w:r w:rsidRPr="009527BD">
        <w:t>Camelina</w:t>
      </w:r>
      <w:proofErr w:type="spellEnd"/>
      <w:r w:rsidRPr="009527BD">
        <w:t>), and 50% soybean meal, 33% finely ground corn, 15% crude glycerin, and 2% corn gluten meal (Glycerin).</w:t>
      </w:r>
    </w:p>
    <w:p w:rsidR="00121BAC" w:rsidRPr="004D3E4A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2</w:t>
      </w:r>
      <w:r>
        <w:t xml:space="preserve">n = 5 pens/treatment with 3 sampling times (d 0, </w:t>
      </w:r>
      <w:r w:rsidRPr="009527BD">
        <w:t>30</w:t>
      </w:r>
      <w:r>
        <w:t>,</w:t>
      </w:r>
      <w:r w:rsidRPr="009527BD">
        <w:t xml:space="preserve"> and 60</w:t>
      </w:r>
      <w:r>
        <w:t>) in both yrs = 30/treatment.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9527BD">
        <w:rPr>
          <w:vertAlign w:val="superscript"/>
        </w:rPr>
        <w:t>a,</w:t>
      </w:r>
      <w:proofErr w:type="gramEnd"/>
      <w:r w:rsidRPr="009527BD">
        <w:rPr>
          <w:vertAlign w:val="superscript"/>
        </w:rPr>
        <w:t>b</w:t>
      </w:r>
      <w:r>
        <w:t>Within</w:t>
      </w:r>
      <w:proofErr w:type="spellEnd"/>
      <w:r>
        <w:t xml:space="preserve"> a row, </w:t>
      </w:r>
      <w:r w:rsidRPr="009527BD">
        <w:t>means without a common superscript differ (</w:t>
      </w:r>
      <w:r w:rsidRPr="0090442B">
        <w:rPr>
          <w:i/>
        </w:rPr>
        <w:t>P</w:t>
      </w:r>
      <w:r w:rsidRPr="009527BD">
        <w:t xml:space="preserve"> &lt; 0.05).</w:t>
      </w:r>
    </w:p>
    <w:p w:rsidR="00121BAC" w:rsidRPr="009527BD" w:rsidRDefault="00121BAC" w:rsidP="00121BAC">
      <w:pPr>
        <w:suppressLineNumbers/>
        <w:autoSpaceDE w:val="0"/>
        <w:autoSpaceDN w:val="0"/>
        <w:adjustRightInd w:val="0"/>
        <w:spacing w:line="480" w:lineRule="auto"/>
        <w:jc w:val="center"/>
      </w:pP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  <w:rPr>
          <w:szCs w:val="20"/>
        </w:rPr>
      </w:pPr>
      <w:proofErr w:type="gramStart"/>
      <w:r>
        <w:rPr>
          <w:b/>
        </w:rPr>
        <w:t>Table 12</w:t>
      </w:r>
      <w:r w:rsidRPr="009527BD">
        <w:rPr>
          <w:b/>
        </w:rPr>
        <w:t>.</w:t>
      </w:r>
      <w:proofErr w:type="gramEnd"/>
      <w:r w:rsidRPr="009527BD">
        <w:rPr>
          <w:b/>
        </w:rPr>
        <w:t xml:space="preserve"> </w:t>
      </w:r>
      <w:r w:rsidRPr="009527BD">
        <w:rPr>
          <w:szCs w:val="20"/>
        </w:rPr>
        <w:t>Reproductive performance of developing replacement beef heifers fed supplements</w:t>
      </w:r>
      <w:r w:rsidRPr="009527BD">
        <w:rPr>
          <w:szCs w:val="20"/>
          <w:vertAlign w:val="superscript"/>
        </w:rPr>
        <w:t>1</w:t>
      </w:r>
      <w:r w:rsidRPr="009527BD">
        <w:rPr>
          <w:szCs w:val="20"/>
        </w:rPr>
        <w:t xml:space="preserve"> for 60 d before being synchronized for estrus</w:t>
      </w:r>
      <w:r w:rsidRPr="009527BD">
        <w:rPr>
          <w:szCs w:val="20"/>
          <w:vertAlign w:val="superscript"/>
        </w:rPr>
        <w:t>2</w:t>
      </w:r>
      <w:r w:rsidRPr="009527BD">
        <w:rPr>
          <w:szCs w:val="20"/>
        </w:rPr>
        <w:t>.</w:t>
      </w:r>
    </w:p>
    <w:tbl>
      <w:tblPr>
        <w:tblW w:w="5000" w:type="pct"/>
        <w:tblLook w:val="04A0"/>
      </w:tblPr>
      <w:tblGrid>
        <w:gridCol w:w="3400"/>
        <w:gridCol w:w="1241"/>
        <w:gridCol w:w="1484"/>
        <w:gridCol w:w="1379"/>
        <w:gridCol w:w="831"/>
        <w:gridCol w:w="1241"/>
      </w:tblGrid>
      <w:tr w:rsidR="00121BAC" w:rsidRPr="009527BD" w:rsidTr="004A598D">
        <w:trPr>
          <w:trHeight w:val="330"/>
        </w:trPr>
        <w:tc>
          <w:tcPr>
            <w:tcW w:w="17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 </w:t>
            </w: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Control</w:t>
            </w:r>
          </w:p>
        </w:tc>
        <w:tc>
          <w:tcPr>
            <w:tcW w:w="7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proofErr w:type="spellStart"/>
            <w:r w:rsidRPr="009527BD">
              <w:t>Camelina</w:t>
            </w:r>
            <w:proofErr w:type="spellEnd"/>
          </w:p>
        </w:tc>
        <w:tc>
          <w:tcPr>
            <w:tcW w:w="72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Glycerin</w:t>
            </w:r>
          </w:p>
        </w:tc>
        <w:tc>
          <w:tcPr>
            <w:tcW w:w="43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5A1735" w:rsidRDefault="00121BAC" w:rsidP="00121BAC">
            <w:pPr>
              <w:spacing w:after="0" w:line="240" w:lineRule="auto"/>
              <w:rPr>
                <w:vertAlign w:val="superscript"/>
              </w:rPr>
            </w:pPr>
            <w:r w:rsidRPr="009527BD">
              <w:t>SE</w:t>
            </w:r>
            <w:r>
              <w:rPr>
                <w:vertAlign w:val="superscript"/>
              </w:rPr>
              <w:t>3</w:t>
            </w: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rPr>
                <w:i/>
              </w:rPr>
              <w:t>P</w:t>
            </w:r>
            <w:r w:rsidRPr="009527BD">
              <w:t>-value</w:t>
            </w:r>
          </w:p>
        </w:tc>
      </w:tr>
      <w:tr w:rsidR="00121BAC" w:rsidRPr="009527BD" w:rsidTr="004A598D">
        <w:trPr>
          <w:trHeight w:val="330"/>
        </w:trPr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Detected in estrus, %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42.7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41.5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48.2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8.3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after="0" w:line="240" w:lineRule="auto"/>
            </w:pPr>
            <w:r w:rsidRPr="009527BD">
              <w:t>0.825</w:t>
            </w:r>
          </w:p>
        </w:tc>
      </w:tr>
      <w:tr w:rsidR="00121BAC" w:rsidRPr="009527BD" w:rsidTr="004A598D">
        <w:trPr>
          <w:trHeight w:val="315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Pregnancy rates to AI, %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</w:p>
        </w:tc>
      </w:tr>
      <w:tr w:rsidR="00121BAC" w:rsidRPr="006312EF" w:rsidTr="004A598D">
        <w:trPr>
          <w:trHeight w:val="315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  <w:ind w:left="360"/>
            </w:pPr>
            <w:r w:rsidRPr="004A74BF">
              <w:t xml:space="preserve">By </w:t>
            </w:r>
            <w:r>
              <w:t>h</w:t>
            </w:r>
            <w:r w:rsidRPr="004A74BF">
              <w:t>eat</w:t>
            </w:r>
            <w:r>
              <w:rPr>
                <w:vertAlign w:val="superscript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54.2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53.3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49.3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13.6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0.965</w:t>
            </w:r>
          </w:p>
        </w:tc>
      </w:tr>
      <w:tr w:rsidR="00121BAC" w:rsidRPr="006312EF" w:rsidTr="004A598D">
        <w:trPr>
          <w:trHeight w:val="315"/>
        </w:trPr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  <w:ind w:left="360"/>
            </w:pPr>
            <w:r>
              <w:t>Timed-</w:t>
            </w:r>
            <w:r w:rsidRPr="004A74BF">
              <w:t>AI</w:t>
            </w:r>
            <w:r>
              <w:rPr>
                <w:vertAlign w:val="superscript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24.2</w:t>
            </w:r>
            <w:r w:rsidRPr="004A74BF">
              <w:rPr>
                <w:vertAlign w:val="superscript"/>
              </w:rPr>
              <w:t>a</w:t>
            </w:r>
            <w:r>
              <w:rPr>
                <w:vertAlign w:val="superscript"/>
              </w:rPr>
              <w:t>,</w:t>
            </w:r>
            <w:r w:rsidRPr="004A74BF">
              <w:rPr>
                <w:vertAlign w:val="superscript"/>
              </w:rPr>
              <w:t>b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43.2</w:t>
            </w:r>
            <w:r w:rsidRPr="004A74BF">
              <w:rPr>
                <w:vertAlign w:val="superscript"/>
              </w:rPr>
              <w:t>b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17.5</w:t>
            </w:r>
            <w:r w:rsidRPr="004A74BF">
              <w:rPr>
                <w:vertAlign w:val="superscript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6.2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0.046</w:t>
            </w:r>
          </w:p>
        </w:tc>
      </w:tr>
      <w:tr w:rsidR="00121BAC" w:rsidRPr="006312EF" w:rsidTr="004A598D">
        <w:trPr>
          <w:trHeight w:val="315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  <w:ind w:left="360"/>
            </w:pPr>
            <w:r w:rsidRPr="004A74BF">
              <w:t>Overall</w:t>
            </w:r>
            <w:r w:rsidRPr="00CD0BDF">
              <w:rPr>
                <w:vertAlign w:val="superscript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37.1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45.2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34.0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7.5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0.577</w:t>
            </w:r>
          </w:p>
        </w:tc>
      </w:tr>
      <w:tr w:rsidR="00121BAC" w:rsidRPr="006312EF" w:rsidTr="004A598D">
        <w:trPr>
          <w:trHeight w:val="315"/>
        </w:trPr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Final pregnancy rate</w:t>
            </w:r>
            <w:r w:rsidRPr="00CD0BDF">
              <w:rPr>
                <w:vertAlign w:val="superscript"/>
              </w:rPr>
              <w:t>7</w:t>
            </w:r>
            <w:r w:rsidRPr="004A74BF">
              <w:t>, %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61.0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71.2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62.1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5.3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4A74BF" w:rsidRDefault="00121BAC" w:rsidP="00121BAC">
            <w:pPr>
              <w:spacing w:after="0" w:line="240" w:lineRule="auto"/>
            </w:pPr>
            <w:r w:rsidRPr="004A74BF">
              <w:t>0.376</w:t>
            </w:r>
          </w:p>
        </w:tc>
      </w:tr>
    </w:tbl>
    <w:p w:rsidR="00121BAC" w:rsidRDefault="00121BAC" w:rsidP="00121BAC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9527BD">
        <w:rPr>
          <w:szCs w:val="20"/>
          <w:vertAlign w:val="superscript"/>
        </w:rPr>
        <w:t>1</w:t>
      </w:r>
      <w:r w:rsidRPr="009527BD">
        <w:rPr>
          <w:szCs w:val="20"/>
        </w:rPr>
        <w:t xml:space="preserve">Supplements (as-fed) consisted of 50% finely ground corn and 50% soybean meal (Control), mechanically extracted </w:t>
      </w:r>
      <w:proofErr w:type="spellStart"/>
      <w:r w:rsidRPr="009527BD">
        <w:rPr>
          <w:szCs w:val="20"/>
        </w:rPr>
        <w:t>camelina</w:t>
      </w:r>
      <w:proofErr w:type="spellEnd"/>
      <w:r w:rsidRPr="009527BD">
        <w:rPr>
          <w:szCs w:val="20"/>
        </w:rPr>
        <w:t xml:space="preserve"> meal (</w:t>
      </w:r>
      <w:proofErr w:type="spellStart"/>
      <w:r w:rsidRPr="009527BD">
        <w:rPr>
          <w:szCs w:val="20"/>
        </w:rPr>
        <w:t>Camelina</w:t>
      </w:r>
      <w:proofErr w:type="spellEnd"/>
      <w:r w:rsidRPr="009527BD">
        <w:rPr>
          <w:szCs w:val="20"/>
        </w:rPr>
        <w:t>), and 50% soybean meal, 33% finely ground corn, 15% crude glycerin, and 2% corn gluten meal (Glycerin).</w:t>
      </w:r>
      <w:r>
        <w:rPr>
          <w:szCs w:val="20"/>
        </w:rPr>
        <w:t xml:space="preserve"> 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vertAlign w:val="superscript"/>
        </w:rPr>
        <w:t>2</w:t>
      </w:r>
      <w:r w:rsidRPr="009527BD">
        <w:t xml:space="preserve">On d 60 and 70, </w:t>
      </w:r>
      <w:r>
        <w:t xml:space="preserve">each heifer received an intramuscular injection containing </w:t>
      </w:r>
      <w:r w:rsidRPr="009527BD">
        <w:t>a 25 mg of PGF</w:t>
      </w:r>
      <w:r w:rsidRPr="00481B5F">
        <w:rPr>
          <w:vertAlign w:val="subscript"/>
        </w:rPr>
        <w:t>2α</w:t>
      </w:r>
      <w:r w:rsidRPr="009527BD">
        <w:t xml:space="preserve">. </w:t>
      </w:r>
      <w:r>
        <w:t>H</w:t>
      </w:r>
      <w:r w:rsidRPr="009527BD">
        <w:t>eifer</w:t>
      </w:r>
      <w:r>
        <w:t>s</w:t>
      </w:r>
      <w:r w:rsidRPr="009527BD">
        <w:t xml:space="preserve"> </w:t>
      </w:r>
      <w:r>
        <w:t>were artificially inseminated</w:t>
      </w:r>
      <w:r w:rsidRPr="009527BD">
        <w:t xml:space="preserve"> 12 h after </w:t>
      </w:r>
      <w:r>
        <w:t>estrus was first detected</w:t>
      </w:r>
      <w:r w:rsidRPr="009527BD">
        <w:t xml:space="preserve">. Heifers that </w:t>
      </w:r>
      <w:r>
        <w:t>were</w:t>
      </w:r>
      <w:r w:rsidRPr="009527BD">
        <w:t xml:space="preserve"> not </w:t>
      </w:r>
      <w:r>
        <w:t xml:space="preserve">detected in </w:t>
      </w:r>
      <w:r w:rsidRPr="009527BD">
        <w:t xml:space="preserve">estrus were given </w:t>
      </w:r>
      <w:r>
        <w:t xml:space="preserve">an </w:t>
      </w:r>
      <w:r w:rsidRPr="009527BD">
        <w:t>i</w:t>
      </w:r>
      <w:r>
        <w:t xml:space="preserve">ntramuscular </w:t>
      </w:r>
      <w:r w:rsidRPr="009527BD">
        <w:t xml:space="preserve">injection </w:t>
      </w:r>
      <w:r>
        <w:t xml:space="preserve">containing </w:t>
      </w:r>
      <w:r w:rsidRPr="009527BD">
        <w:t>100 µg</w:t>
      </w:r>
      <w:r>
        <w:t xml:space="preserve"> of</w:t>
      </w:r>
      <w:r w:rsidRPr="009527BD">
        <w:t xml:space="preserve"> </w:t>
      </w:r>
      <w:proofErr w:type="spellStart"/>
      <w:r w:rsidRPr="009527BD">
        <w:t>GnRH</w:t>
      </w:r>
      <w:proofErr w:type="spellEnd"/>
      <w:r w:rsidRPr="009527BD">
        <w:t xml:space="preserve"> (</w:t>
      </w:r>
      <w:proofErr w:type="spellStart"/>
      <w:r w:rsidRPr="009527BD">
        <w:t>Fertagyl</w:t>
      </w:r>
      <w:proofErr w:type="spellEnd"/>
      <w:r w:rsidRPr="009527BD">
        <w:t xml:space="preserve">, </w:t>
      </w:r>
      <w:proofErr w:type="spellStart"/>
      <w:r w:rsidRPr="009527BD">
        <w:t>Intervet</w:t>
      </w:r>
      <w:proofErr w:type="spellEnd"/>
      <w:r w:rsidRPr="009527BD">
        <w:t>, Inc., Millsboro, DE)</w:t>
      </w:r>
      <w:r w:rsidRPr="009527BD" w:rsidDel="00B92A2E">
        <w:t xml:space="preserve"> </w:t>
      </w:r>
      <w:r>
        <w:t xml:space="preserve">at 0800 </w:t>
      </w:r>
      <w:r w:rsidRPr="009527BD">
        <w:t xml:space="preserve">and </w:t>
      </w:r>
      <w:r>
        <w:t>artificially inseminated by</w:t>
      </w:r>
      <w:r w:rsidRPr="009527BD">
        <w:t xml:space="preserve"> </w:t>
      </w:r>
      <w:r>
        <w:t>66 h after the second PGF</w:t>
      </w:r>
      <w:r w:rsidRPr="00481B5F">
        <w:rPr>
          <w:vertAlign w:val="subscript"/>
        </w:rPr>
        <w:t>2α</w:t>
      </w:r>
      <w:r>
        <w:t xml:space="preserve"> injection</w:t>
      </w:r>
      <w:r w:rsidRPr="009527BD">
        <w:t xml:space="preserve">. Any heifer </w:t>
      </w:r>
      <w:r>
        <w:t>detected in</w:t>
      </w:r>
      <w:r w:rsidRPr="009527BD">
        <w:t xml:space="preserve"> estrus </w:t>
      </w:r>
      <w:r>
        <w:t>by</w:t>
      </w:r>
      <w:r w:rsidRPr="00481B5F">
        <w:t xml:space="preserve"> d</w:t>
      </w:r>
      <w:r w:rsidRPr="004A74BF">
        <w:t xml:space="preserve"> 75</w:t>
      </w:r>
      <w:r>
        <w:t xml:space="preserve"> </w:t>
      </w:r>
      <w:r w:rsidRPr="004A74BF">
        <w:t xml:space="preserve">was </w:t>
      </w:r>
      <w:r>
        <w:t xml:space="preserve">inseminated </w:t>
      </w:r>
      <w:r w:rsidRPr="004A74BF">
        <w:t xml:space="preserve">again 12 h after </w:t>
      </w:r>
      <w:r>
        <w:t>they were detected in estrus</w:t>
      </w:r>
      <w:r w:rsidRPr="004A74BF">
        <w:t>.</w:t>
      </w:r>
      <w:r>
        <w:t xml:space="preserve"> </w:t>
      </w:r>
    </w:p>
    <w:p w:rsidR="00121BAC" w:rsidRPr="009527BD" w:rsidRDefault="00121BAC" w:rsidP="00121BAC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vertAlign w:val="superscript"/>
        </w:rPr>
        <w:t>3</w:t>
      </w:r>
      <w:r>
        <w:t>n = 10/treatment.</w:t>
      </w:r>
    </w:p>
    <w:p w:rsidR="00121BAC" w:rsidRPr="005B40EF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4</w:t>
      </w:r>
      <w:r>
        <w:t>First-service p</w:t>
      </w:r>
      <w:r w:rsidRPr="005B40EF">
        <w:t xml:space="preserve">regnancy rate of heifers bred 12 h after </w:t>
      </w:r>
      <w:r>
        <w:t>being detected in</w:t>
      </w:r>
      <w:r w:rsidRPr="005B40EF">
        <w:t xml:space="preserve"> estrus.</w:t>
      </w:r>
    </w:p>
    <w:p w:rsidR="00121BAC" w:rsidRDefault="00121BAC" w:rsidP="00121BAC">
      <w:pPr>
        <w:autoSpaceDE w:val="0"/>
        <w:autoSpaceDN w:val="0"/>
        <w:adjustRightInd w:val="0"/>
        <w:spacing w:after="0" w:line="240" w:lineRule="auto"/>
      </w:pPr>
      <w:r>
        <w:rPr>
          <w:vertAlign w:val="superscript"/>
        </w:rPr>
        <w:t>5</w:t>
      </w:r>
      <w:r>
        <w:t>First-service p</w:t>
      </w:r>
      <w:r w:rsidRPr="005B40EF">
        <w:t xml:space="preserve">regnancy rates of heifers bred via </w:t>
      </w:r>
      <w:r>
        <w:t>timed-</w:t>
      </w:r>
      <w:r w:rsidRPr="005B40EF">
        <w:t xml:space="preserve">AI on d 74 after a 2 </w:t>
      </w:r>
      <w:proofErr w:type="spellStart"/>
      <w:r w:rsidRPr="005B40EF">
        <w:t>mL</w:t>
      </w:r>
      <w:proofErr w:type="spellEnd"/>
      <w:r w:rsidRPr="005B40EF">
        <w:t xml:space="preserve"> injection of </w:t>
      </w:r>
      <w:proofErr w:type="spellStart"/>
      <w:r w:rsidRPr="005B40EF">
        <w:t>GnRH</w:t>
      </w:r>
      <w:proofErr w:type="spellEnd"/>
      <w:r w:rsidRPr="005B40EF">
        <w:t>.</w:t>
      </w:r>
    </w:p>
    <w:p w:rsidR="00121BAC" w:rsidRDefault="00121BAC" w:rsidP="00121BAC">
      <w:pPr>
        <w:autoSpaceDE w:val="0"/>
        <w:autoSpaceDN w:val="0"/>
        <w:adjustRightInd w:val="0"/>
        <w:spacing w:after="0" w:line="240" w:lineRule="auto"/>
      </w:pPr>
      <w:proofErr w:type="gramStart"/>
      <w:r w:rsidRPr="00CD0BDF">
        <w:rPr>
          <w:vertAlign w:val="superscript"/>
        </w:rPr>
        <w:t>6</w:t>
      </w:r>
      <w:r>
        <w:t>Overall first-service pregnancy rates.</w:t>
      </w:r>
      <w:proofErr w:type="gramEnd"/>
      <w:r>
        <w:t xml:space="preserve"> </w:t>
      </w:r>
    </w:p>
    <w:p w:rsidR="00121BAC" w:rsidRDefault="00121BAC" w:rsidP="00121BAC">
      <w:pPr>
        <w:autoSpaceDE w:val="0"/>
        <w:autoSpaceDN w:val="0"/>
        <w:adjustRightInd w:val="0"/>
        <w:spacing w:after="0" w:line="240" w:lineRule="auto"/>
      </w:pPr>
      <w:r w:rsidRPr="00CD0BDF">
        <w:rPr>
          <w:vertAlign w:val="superscript"/>
        </w:rPr>
        <w:t>7</w:t>
      </w:r>
      <w:r>
        <w:t>Final pregnancy rates after first-service AI, second-service AI (yr 1) and bull exposure (yr 2).</w:t>
      </w:r>
    </w:p>
    <w:p w:rsidR="00121BAC" w:rsidRPr="005B40EF" w:rsidRDefault="00121BAC" w:rsidP="00121BAC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5B40EF">
        <w:rPr>
          <w:vertAlign w:val="superscript"/>
        </w:rPr>
        <w:t>a,</w:t>
      </w:r>
      <w:proofErr w:type="gramEnd"/>
      <w:r w:rsidRPr="005B40EF">
        <w:rPr>
          <w:vertAlign w:val="superscript"/>
        </w:rPr>
        <w:t>b</w:t>
      </w:r>
      <w:r w:rsidRPr="005B40EF">
        <w:t>Within</w:t>
      </w:r>
      <w:proofErr w:type="spellEnd"/>
      <w:r w:rsidRPr="005B40EF">
        <w:t xml:space="preserve"> a row, means without a common superscript differ (</w:t>
      </w:r>
      <w:r w:rsidRPr="005B40EF">
        <w:rPr>
          <w:i/>
        </w:rPr>
        <w:t>P</w:t>
      </w:r>
      <w:r w:rsidRPr="005B40EF">
        <w:t xml:space="preserve"> &lt; 0.05).</w:t>
      </w:r>
    </w:p>
    <w:p w:rsidR="00121BAC" w:rsidRDefault="00121BAC">
      <w:pPr>
        <w:rPr>
          <w:b/>
        </w:rPr>
      </w:pPr>
      <w:r>
        <w:rPr>
          <w:b/>
        </w:rPr>
        <w:br w:type="page"/>
      </w:r>
    </w:p>
    <w:p w:rsidR="00121BAC" w:rsidRPr="00842578" w:rsidRDefault="00121BAC" w:rsidP="00121BAC">
      <w:pPr>
        <w:autoSpaceDE w:val="0"/>
        <w:autoSpaceDN w:val="0"/>
        <w:adjustRightInd w:val="0"/>
        <w:spacing w:line="240" w:lineRule="auto"/>
      </w:pPr>
      <w:proofErr w:type="gramStart"/>
      <w:r w:rsidRPr="009527BD">
        <w:rPr>
          <w:b/>
        </w:rPr>
        <w:lastRenderedPageBreak/>
        <w:t xml:space="preserve">Table </w:t>
      </w:r>
      <w:r>
        <w:rPr>
          <w:b/>
        </w:rPr>
        <w:t>13</w:t>
      </w:r>
      <w:r w:rsidRPr="009527BD">
        <w:rPr>
          <w:b/>
        </w:rPr>
        <w:t>.</w:t>
      </w:r>
      <w:proofErr w:type="gramEnd"/>
      <w:r w:rsidRPr="009527BD">
        <w:rPr>
          <w:b/>
        </w:rPr>
        <w:t xml:space="preserve"> </w:t>
      </w:r>
      <w:r w:rsidRPr="009527BD">
        <w:t xml:space="preserve">Daily cost </w:t>
      </w:r>
      <w:r>
        <w:t>of supplement</w:t>
      </w:r>
      <w:r w:rsidRPr="009527BD">
        <w:t>i</w:t>
      </w:r>
      <w:r>
        <w:t>ng</w:t>
      </w:r>
      <w:r w:rsidRPr="009527BD">
        <w:t xml:space="preserve"> developing replacement beef heifers fed the control, </w:t>
      </w:r>
      <w:proofErr w:type="spellStart"/>
      <w:r w:rsidRPr="009527BD">
        <w:t>camelina</w:t>
      </w:r>
      <w:proofErr w:type="spellEnd"/>
      <w:r>
        <w:t xml:space="preserve"> meal,</w:t>
      </w:r>
      <w:r w:rsidRPr="009527BD">
        <w:t xml:space="preserve"> and </w:t>
      </w:r>
      <w:r>
        <w:t xml:space="preserve">crude </w:t>
      </w:r>
      <w:r w:rsidRPr="009527BD">
        <w:t>glycerin supplements</w:t>
      </w:r>
      <w:r w:rsidRPr="009527BD">
        <w:rPr>
          <w:vertAlign w:val="superscript"/>
        </w:rPr>
        <w:t>1</w:t>
      </w:r>
      <w:r w:rsidRPr="009527BD">
        <w:t xml:space="preserve"> for 60 d before </w:t>
      </w:r>
      <w:r>
        <w:t>the breeding season</w:t>
      </w:r>
      <w:r w:rsidRPr="009527BD">
        <w:t>.</w:t>
      </w:r>
    </w:p>
    <w:tbl>
      <w:tblPr>
        <w:tblW w:w="5000" w:type="pct"/>
        <w:tblLook w:val="04A0"/>
      </w:tblPr>
      <w:tblGrid>
        <w:gridCol w:w="3165"/>
        <w:gridCol w:w="858"/>
        <w:gridCol w:w="1992"/>
        <w:gridCol w:w="981"/>
        <w:gridCol w:w="2580"/>
      </w:tblGrid>
      <w:tr w:rsidR="00121BAC" w:rsidRPr="009527BD" w:rsidTr="004A598D">
        <w:trPr>
          <w:trHeight w:val="552"/>
        </w:trPr>
        <w:tc>
          <w:tcPr>
            <w:tcW w:w="165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%</w:t>
            </w:r>
          </w:p>
        </w:tc>
        <w:tc>
          <w:tcPr>
            <w:tcW w:w="104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kg</w:t>
            </w:r>
            <w:r>
              <w:rPr>
                <w:bCs/>
              </w:rPr>
              <w:t>·</w:t>
            </w:r>
            <w:r w:rsidRPr="00B12071">
              <w:rPr>
                <w:bCs/>
              </w:rPr>
              <w:t>heifer</w:t>
            </w:r>
            <w:r w:rsidRPr="004A3806">
              <w:rPr>
                <w:bCs/>
                <w:vertAlign w:val="superscript"/>
              </w:rPr>
              <w:t>-1</w:t>
            </w:r>
            <w:r>
              <w:rPr>
                <w:bCs/>
              </w:rPr>
              <w:t>·</w:t>
            </w:r>
            <w:r w:rsidRPr="00B12071">
              <w:rPr>
                <w:bCs/>
              </w:rPr>
              <w:t>d</w:t>
            </w:r>
            <w:r w:rsidRPr="004A3806">
              <w:rPr>
                <w:bCs/>
                <w:vertAlign w:val="superscript"/>
              </w:rPr>
              <w:t>-1</w:t>
            </w:r>
          </w:p>
        </w:tc>
        <w:tc>
          <w:tcPr>
            <w:tcW w:w="51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$/kg</w:t>
            </w:r>
            <w:r w:rsidRPr="00B12071">
              <w:rPr>
                <w:bCs/>
                <w:vertAlign w:val="superscript"/>
              </w:rPr>
              <w:t>2</w:t>
            </w:r>
          </w:p>
        </w:tc>
        <w:tc>
          <w:tcPr>
            <w:tcW w:w="134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Cost $</w:t>
            </w:r>
            <w:r>
              <w:rPr>
                <w:bCs/>
              </w:rPr>
              <w:t>·</w:t>
            </w:r>
            <w:r w:rsidRPr="00B12071">
              <w:rPr>
                <w:bCs/>
              </w:rPr>
              <w:t>heifer</w:t>
            </w:r>
            <w:r w:rsidRPr="004A3806">
              <w:rPr>
                <w:bCs/>
                <w:vertAlign w:val="superscript"/>
              </w:rPr>
              <w:t>-1</w:t>
            </w:r>
            <w:r>
              <w:rPr>
                <w:bCs/>
              </w:rPr>
              <w:t>·</w:t>
            </w:r>
            <w:r w:rsidRPr="00B12071">
              <w:rPr>
                <w:bCs/>
              </w:rPr>
              <w:t>d</w:t>
            </w:r>
            <w:r w:rsidRPr="004A3806">
              <w:rPr>
                <w:bCs/>
                <w:vertAlign w:val="superscript"/>
              </w:rPr>
              <w:t>-1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rPr>
                <w:bCs/>
              </w:rPr>
              <w:t>Control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Soybean meal</w:t>
            </w:r>
          </w:p>
        </w:tc>
        <w:tc>
          <w:tcPr>
            <w:tcW w:w="4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50</w:t>
            </w:r>
          </w:p>
        </w:tc>
        <w:tc>
          <w:tcPr>
            <w:tcW w:w="10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0.49</w:t>
            </w:r>
          </w:p>
        </w:tc>
        <w:tc>
          <w:tcPr>
            <w:tcW w:w="51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0.33</w:t>
            </w:r>
          </w:p>
        </w:tc>
        <w:tc>
          <w:tcPr>
            <w:tcW w:w="13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0.16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Finely ground corn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50</w:t>
            </w: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0.49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0.20</w:t>
            </w:r>
          </w:p>
        </w:tc>
        <w:tc>
          <w:tcPr>
            <w:tcW w:w="1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0.10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Total</w:t>
            </w:r>
          </w:p>
        </w:tc>
        <w:tc>
          <w:tcPr>
            <w:tcW w:w="4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100</w:t>
            </w: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Cs/>
              </w:rPr>
            </w:pPr>
            <w:r w:rsidRPr="009527BD">
              <w:rPr>
                <w:bCs/>
              </w:rPr>
              <w:t>0.97</w:t>
            </w:r>
          </w:p>
        </w:tc>
        <w:tc>
          <w:tcPr>
            <w:tcW w:w="5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  <w:tc>
          <w:tcPr>
            <w:tcW w:w="13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  <w:rPr>
                <w:bCs/>
              </w:rPr>
            </w:pPr>
            <w:r w:rsidRPr="00B12071">
              <w:rPr>
                <w:bCs/>
              </w:rPr>
              <w:t>0.26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Glycerin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  <w:rPr>
                <w:bCs/>
              </w:rPr>
            </w:pP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Soybean meal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0.49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0.33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</w:pPr>
            <w:r w:rsidRPr="00B12071">
              <w:t>0.16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Finely ground corn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33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0.20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</w:pPr>
            <w:r w:rsidRPr="00B12071">
              <w:t>0.06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Crude glycerin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15</w:t>
            </w: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0.14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0.11</w:t>
            </w:r>
          </w:p>
        </w:tc>
        <w:tc>
          <w:tcPr>
            <w:tcW w:w="1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</w:pPr>
            <w:r w:rsidRPr="00B12071">
              <w:t>0.02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</w:pPr>
            <w:r w:rsidRPr="00B12071">
              <w:t>Corn gluten meal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2</w:t>
            </w: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0.02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1.11</w:t>
            </w:r>
          </w:p>
        </w:tc>
        <w:tc>
          <w:tcPr>
            <w:tcW w:w="1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</w:pPr>
            <w:r w:rsidRPr="00B12071">
              <w:t>0.02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  <w:r w:rsidRPr="00B12071">
              <w:rPr>
                <w:bCs/>
              </w:rPr>
              <w:t>Total</w:t>
            </w:r>
          </w:p>
        </w:tc>
        <w:tc>
          <w:tcPr>
            <w:tcW w:w="4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100</w:t>
            </w: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Cs/>
              </w:rPr>
            </w:pPr>
            <w:r w:rsidRPr="009527BD">
              <w:rPr>
                <w:bCs/>
              </w:rPr>
              <w:t>0.97</w:t>
            </w:r>
          </w:p>
        </w:tc>
        <w:tc>
          <w:tcPr>
            <w:tcW w:w="5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</w:p>
        </w:tc>
        <w:tc>
          <w:tcPr>
            <w:tcW w:w="13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  <w:rPr>
                <w:bCs/>
              </w:rPr>
            </w:pPr>
            <w:r w:rsidRPr="00B12071">
              <w:rPr>
                <w:bCs/>
              </w:rPr>
              <w:t>0.26</w:t>
            </w: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rPr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  <w:rPr>
                <w:bCs/>
              </w:rPr>
            </w:pPr>
          </w:p>
        </w:tc>
      </w:tr>
      <w:tr w:rsidR="00121BAC" w:rsidRPr="009527BD" w:rsidTr="004A598D">
        <w:trPr>
          <w:trHeight w:val="552"/>
        </w:trPr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</w:pPr>
            <w:proofErr w:type="spellStart"/>
            <w:r w:rsidRPr="009527BD">
              <w:t>Camelina</w:t>
            </w:r>
            <w:proofErr w:type="spellEnd"/>
            <w:r w:rsidRPr="009527BD">
              <w:t xml:space="preserve"> meal</w:t>
            </w:r>
          </w:p>
        </w:tc>
        <w:tc>
          <w:tcPr>
            <w:tcW w:w="4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100</w:t>
            </w: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0.97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9527BD" w:rsidRDefault="00121BAC" w:rsidP="00121BAC">
            <w:pPr>
              <w:spacing w:line="240" w:lineRule="auto"/>
              <w:jc w:val="center"/>
            </w:pPr>
            <w:r w:rsidRPr="009527BD">
              <w:t>0.20</w:t>
            </w:r>
          </w:p>
        </w:tc>
        <w:tc>
          <w:tcPr>
            <w:tcW w:w="13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AC" w:rsidRPr="00B12071" w:rsidRDefault="00121BAC" w:rsidP="00121BAC">
            <w:pPr>
              <w:spacing w:line="240" w:lineRule="auto"/>
              <w:jc w:val="center"/>
              <w:rPr>
                <w:bCs/>
              </w:rPr>
            </w:pPr>
            <w:r w:rsidRPr="00B12071">
              <w:rPr>
                <w:bCs/>
              </w:rPr>
              <w:t>0.19</w:t>
            </w:r>
          </w:p>
        </w:tc>
      </w:tr>
    </w:tbl>
    <w:p w:rsidR="00121BAC" w:rsidRPr="009527BD" w:rsidRDefault="00121BAC" w:rsidP="00121BAC">
      <w:pPr>
        <w:autoSpaceDE w:val="0"/>
        <w:autoSpaceDN w:val="0"/>
        <w:adjustRightInd w:val="0"/>
        <w:spacing w:line="240" w:lineRule="auto"/>
      </w:pPr>
      <w:r w:rsidRPr="009527BD">
        <w:rPr>
          <w:vertAlign w:val="superscript"/>
        </w:rPr>
        <w:t>1</w:t>
      </w:r>
      <w:r w:rsidRPr="009527BD">
        <w:t xml:space="preserve">Supplements (as-fed) consisted of 50% finely ground corn and 50% soybean meal (Control), mechanically extracted </w:t>
      </w:r>
      <w:proofErr w:type="spellStart"/>
      <w:r w:rsidRPr="009527BD">
        <w:t>camelina</w:t>
      </w:r>
      <w:proofErr w:type="spellEnd"/>
      <w:r w:rsidRPr="009527BD">
        <w:t xml:space="preserve"> meal (</w:t>
      </w:r>
      <w:proofErr w:type="spellStart"/>
      <w:r w:rsidRPr="009527BD">
        <w:t>Camelina</w:t>
      </w:r>
      <w:proofErr w:type="spellEnd"/>
      <w:r w:rsidRPr="009527BD">
        <w:t>), and 50% soybean meal, 33% finely ground corn, 15% crude glycerin, and 2% corn gluten meal (Glycerin).</w:t>
      </w:r>
    </w:p>
    <w:p w:rsidR="00904F36" w:rsidRDefault="00121BAC" w:rsidP="00121BAC">
      <w:pPr>
        <w:autoSpaceDE w:val="0"/>
        <w:autoSpaceDN w:val="0"/>
        <w:adjustRightInd w:val="0"/>
        <w:spacing w:line="240" w:lineRule="auto"/>
      </w:pPr>
      <w:r w:rsidRPr="009527BD">
        <w:rPr>
          <w:vertAlign w:val="superscript"/>
        </w:rPr>
        <w:t>2</w:t>
      </w:r>
      <w:r>
        <w:t>Total c</w:t>
      </w:r>
      <w:r w:rsidRPr="009527BD">
        <w:t xml:space="preserve">ost of </w:t>
      </w:r>
      <w:proofErr w:type="spellStart"/>
      <w:r w:rsidRPr="009527BD">
        <w:t>camelina</w:t>
      </w:r>
      <w:proofErr w:type="spellEnd"/>
      <w:r w:rsidRPr="009527BD">
        <w:t xml:space="preserve"> meal was equal to the cost of </w:t>
      </w:r>
      <w:proofErr w:type="spellStart"/>
      <w:r w:rsidRPr="009527BD">
        <w:t>camelina</w:t>
      </w:r>
      <w:proofErr w:type="spellEnd"/>
      <w:r w:rsidRPr="009527BD">
        <w:t xml:space="preserve"> seeds ($0.12/kg) plus</w:t>
      </w:r>
      <w:r>
        <w:t xml:space="preserve"> the cost </w:t>
      </w:r>
      <w:r w:rsidRPr="009527BD">
        <w:t>($0.08/kg)</w:t>
      </w:r>
      <w:r>
        <w:t xml:space="preserve"> of </w:t>
      </w:r>
      <w:r w:rsidRPr="009527BD">
        <w:t>transport</w:t>
      </w:r>
      <w:r>
        <w:t>ing seed to and meal from the processing plant</w:t>
      </w:r>
      <w:r w:rsidRPr="009527BD">
        <w:t>.</w:t>
      </w:r>
      <w:r>
        <w:t xml:space="preserve"> </w:t>
      </w:r>
    </w:p>
    <w:sectPr w:rsidR="00904F36" w:rsidSect="002F3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E5" w:rsidRPr="00F96B75" w:rsidRDefault="002D5AE5" w:rsidP="00121BAC">
      <w:pPr>
        <w:spacing w:after="0" w:line="240" w:lineRule="auto"/>
        <w:rPr>
          <w:rFonts w:ascii="Arial" w:hAnsi="Arial"/>
        </w:rPr>
      </w:pPr>
      <w:r>
        <w:separator/>
      </w:r>
    </w:p>
  </w:endnote>
  <w:endnote w:type="continuationSeparator" w:id="0">
    <w:p w:rsidR="002D5AE5" w:rsidRPr="00F96B75" w:rsidRDefault="002D5AE5" w:rsidP="00121BAC">
      <w:pPr>
        <w:spacing w:after="0" w:line="240" w:lineRule="auto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53" w:rsidRDefault="00F926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53" w:rsidRDefault="00F926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53" w:rsidRDefault="00F92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E5" w:rsidRPr="00F96B75" w:rsidRDefault="002D5AE5" w:rsidP="00121BAC">
      <w:pPr>
        <w:spacing w:after="0" w:line="240" w:lineRule="auto"/>
        <w:rPr>
          <w:rFonts w:ascii="Arial" w:hAnsi="Arial"/>
        </w:rPr>
      </w:pPr>
      <w:r>
        <w:separator/>
      </w:r>
    </w:p>
  </w:footnote>
  <w:footnote w:type="continuationSeparator" w:id="0">
    <w:p w:rsidR="002D5AE5" w:rsidRPr="00F96B75" w:rsidRDefault="002D5AE5" w:rsidP="00121BAC">
      <w:pPr>
        <w:spacing w:after="0" w:line="240" w:lineRule="auto"/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53" w:rsidRDefault="00F926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4D2B9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6CF0896431424DAC8B48D85C5DA00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D2B95" w:rsidRDefault="00121BAC" w:rsidP="00121BA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SW07-049 Final Report</w:t>
              </w:r>
              <w:r w:rsidR="00F9265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Tables for Results and Discussion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Year"/>
          <w:id w:val="77761609"/>
          <w:placeholder>
            <w:docPart w:val="9DEF9DB3273D4A538187394D58FCFAB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D2B95" w:rsidRDefault="00121BAC" w:rsidP="00274D2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21B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2011</w:t>
              </w:r>
            </w:p>
          </w:tc>
        </w:sdtContent>
      </w:sdt>
    </w:tr>
  </w:tbl>
  <w:p w:rsidR="004D2B95" w:rsidRDefault="002D5A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53" w:rsidRDefault="00F926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in;height:3in" o:bullet="t"/>
    </w:pict>
  </w:numPicBullet>
  <w:abstractNum w:abstractNumId="0">
    <w:nsid w:val="02A769C3"/>
    <w:multiLevelType w:val="hybridMultilevel"/>
    <w:tmpl w:val="2A14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474"/>
    <w:multiLevelType w:val="hybridMultilevel"/>
    <w:tmpl w:val="B990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27A"/>
    <w:multiLevelType w:val="multilevel"/>
    <w:tmpl w:val="5E44D8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E244F"/>
    <w:multiLevelType w:val="multilevel"/>
    <w:tmpl w:val="40789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4E421AC"/>
    <w:multiLevelType w:val="hybridMultilevel"/>
    <w:tmpl w:val="0B74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6258"/>
    <w:multiLevelType w:val="hybridMultilevel"/>
    <w:tmpl w:val="2A14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2D9B"/>
    <w:multiLevelType w:val="hybridMultilevel"/>
    <w:tmpl w:val="EB4A3754"/>
    <w:lvl w:ilvl="0" w:tplc="EEF852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AC"/>
    <w:rsid w:val="00121BAC"/>
    <w:rsid w:val="00254D4F"/>
    <w:rsid w:val="002D5AE5"/>
    <w:rsid w:val="0089591B"/>
    <w:rsid w:val="00904F36"/>
    <w:rsid w:val="00F92653"/>
    <w:rsid w:val="00F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AC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121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AC"/>
  </w:style>
  <w:style w:type="paragraph" w:styleId="Footer">
    <w:name w:val="footer"/>
    <w:basedOn w:val="Normal"/>
    <w:link w:val="FooterChar"/>
    <w:uiPriority w:val="99"/>
    <w:semiHidden/>
    <w:unhideWhenUsed/>
    <w:rsid w:val="0012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BAC"/>
  </w:style>
  <w:style w:type="paragraph" w:styleId="BalloonText">
    <w:name w:val="Balloon Text"/>
    <w:basedOn w:val="Normal"/>
    <w:link w:val="BalloonTextChar"/>
    <w:uiPriority w:val="99"/>
    <w:semiHidden/>
    <w:unhideWhenUsed/>
    <w:rsid w:val="001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21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1BAC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BAC"/>
    <w:pPr>
      <w:spacing w:after="0" w:line="240" w:lineRule="auto"/>
      <w:ind w:left="47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B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21BAC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121BAC"/>
    <w:rPr>
      <w:i/>
      <w:iCs/>
    </w:rPr>
  </w:style>
  <w:style w:type="character" w:customStyle="1" w:styleId="cit-title3">
    <w:name w:val="cit-title3"/>
    <w:basedOn w:val="DefaultParagraphFont"/>
    <w:rsid w:val="00121BAC"/>
  </w:style>
  <w:style w:type="character" w:customStyle="1" w:styleId="cit-auth2">
    <w:name w:val="cit-auth2"/>
    <w:basedOn w:val="DefaultParagraphFont"/>
    <w:rsid w:val="00121BAC"/>
  </w:style>
  <w:style w:type="character" w:customStyle="1" w:styleId="cit-sep2">
    <w:name w:val="cit-sep2"/>
    <w:basedOn w:val="DefaultParagraphFont"/>
    <w:rsid w:val="00121BAC"/>
  </w:style>
  <w:style w:type="character" w:customStyle="1" w:styleId="cit-print-date">
    <w:name w:val="cit-print-date"/>
    <w:basedOn w:val="DefaultParagraphFont"/>
    <w:rsid w:val="00121BAC"/>
  </w:style>
  <w:style w:type="character" w:customStyle="1" w:styleId="cit-elocation">
    <w:name w:val="cit-elocation"/>
    <w:basedOn w:val="DefaultParagraphFont"/>
    <w:rsid w:val="00121BAC"/>
  </w:style>
  <w:style w:type="character" w:customStyle="1" w:styleId="cit-ahead-of-print-date">
    <w:name w:val="cit-ahead-of-print-date"/>
    <w:basedOn w:val="DefaultParagraphFont"/>
    <w:rsid w:val="00121BAC"/>
  </w:style>
  <w:style w:type="character" w:customStyle="1" w:styleId="cit-doi2">
    <w:name w:val="cit-doi2"/>
    <w:basedOn w:val="DefaultParagraphFont"/>
    <w:rsid w:val="00121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6CF0896431424DAC8B48D85C5D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21C3-1FB6-4933-B70A-A0BAD31756D1}"/>
      </w:docPartPr>
      <w:docPartBody>
        <w:p w:rsidR="00BF53AF" w:rsidRDefault="004F4D53" w:rsidP="004F4D53">
          <w:pPr>
            <w:pStyle w:val="F96CF0896431424DAC8B48D85C5DA00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DEF9DB3273D4A538187394D58FC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ACF8-1E94-441F-84B8-3625B48CA8B4}"/>
      </w:docPartPr>
      <w:docPartBody>
        <w:p w:rsidR="00BF53AF" w:rsidRDefault="004F4D53" w:rsidP="004F4D53">
          <w:pPr>
            <w:pStyle w:val="9DEF9DB3273D4A538187394D58FCFAB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4D53"/>
    <w:rsid w:val="00060ADF"/>
    <w:rsid w:val="004F4D53"/>
    <w:rsid w:val="00B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CF0896431424DAC8B48D85C5DA009">
    <w:name w:val="F96CF0896431424DAC8B48D85C5DA009"/>
    <w:rsid w:val="004F4D53"/>
  </w:style>
  <w:style w:type="paragraph" w:customStyle="1" w:styleId="9DEF9DB3273D4A538187394D58FCFABC">
    <w:name w:val="9DEF9DB3273D4A538187394D58FCFABC"/>
    <w:rsid w:val="004F4D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1660</Words>
  <Characters>9467</Characters>
  <Application>Microsoft Office Word</Application>
  <DocSecurity>0</DocSecurity>
  <Lines>78</Lines>
  <Paragraphs>22</Paragraphs>
  <ScaleCrop>false</ScaleCrop>
  <Company>University of Wyoming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SW07-049 Final Report Tables for Results and Discussion</dc:title>
  <dc:subject/>
  <dc:creator>brethess</dc:creator>
  <cp:keywords/>
  <dc:description/>
  <cp:lastModifiedBy>brethess</cp:lastModifiedBy>
  <cp:revision>4</cp:revision>
  <dcterms:created xsi:type="dcterms:W3CDTF">2011-08-28T00:02:00Z</dcterms:created>
  <dcterms:modified xsi:type="dcterms:W3CDTF">2011-08-28T01:03:00Z</dcterms:modified>
</cp:coreProperties>
</file>