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242" w:rsidRDefault="00CE2242" w:rsidP="00CE2242">
      <w:pPr>
        <w:pStyle w:val="Default"/>
        <w:rPr>
          <w:i/>
          <w:iCs/>
          <w:sz w:val="22"/>
          <w:szCs w:val="22"/>
        </w:rPr>
      </w:pPr>
      <w:r w:rsidRPr="00CE2242">
        <w:rPr>
          <w:i/>
          <w:iCs/>
          <w:sz w:val="22"/>
          <w:szCs w:val="22"/>
        </w:rPr>
        <w:t>Extension Programs/Techniqu</w:t>
      </w:r>
      <w:r w:rsidR="00924225">
        <w:rPr>
          <w:i/>
          <w:iCs/>
          <w:sz w:val="22"/>
          <w:szCs w:val="22"/>
        </w:rPr>
        <w:t>es</w:t>
      </w:r>
      <w:bookmarkStart w:id="0" w:name="_GoBack"/>
      <w:bookmarkEnd w:id="0"/>
    </w:p>
    <w:p w:rsidR="00CE2242" w:rsidRPr="00CE2242" w:rsidRDefault="00CE2242" w:rsidP="00CE2242">
      <w:pPr>
        <w:pStyle w:val="Default"/>
        <w:rPr>
          <w:b/>
          <w:bCs/>
          <w:sz w:val="22"/>
          <w:szCs w:val="22"/>
        </w:rPr>
      </w:pPr>
    </w:p>
    <w:p w:rsidR="00CE2242" w:rsidRPr="00CE2242" w:rsidRDefault="00CE2242" w:rsidP="00CE2242">
      <w:pPr>
        <w:pStyle w:val="Default"/>
        <w:jc w:val="center"/>
        <w:rPr>
          <w:sz w:val="22"/>
          <w:szCs w:val="22"/>
        </w:rPr>
      </w:pPr>
      <w:r w:rsidRPr="00CE2242">
        <w:rPr>
          <w:b/>
          <w:bCs/>
          <w:sz w:val="22"/>
          <w:szCs w:val="22"/>
        </w:rPr>
        <w:t>Soil Man</w:t>
      </w:r>
      <w:r w:rsidR="00670B3F">
        <w:rPr>
          <w:b/>
          <w:bCs/>
          <w:sz w:val="22"/>
          <w:szCs w:val="22"/>
        </w:rPr>
        <w:t>ag</w:t>
      </w:r>
      <w:r w:rsidRPr="00CE2242">
        <w:rPr>
          <w:b/>
          <w:bCs/>
          <w:sz w:val="22"/>
          <w:szCs w:val="22"/>
        </w:rPr>
        <w:t>ement in Berry Crops as a Model for Man</w:t>
      </w:r>
      <w:r w:rsidR="00670B3F">
        <w:rPr>
          <w:b/>
          <w:bCs/>
          <w:sz w:val="22"/>
          <w:szCs w:val="22"/>
        </w:rPr>
        <w:t>ag</w:t>
      </w:r>
      <w:r w:rsidRPr="00CE2242">
        <w:rPr>
          <w:b/>
          <w:bCs/>
          <w:sz w:val="22"/>
          <w:szCs w:val="22"/>
        </w:rPr>
        <w:t>ement Education</w:t>
      </w:r>
    </w:p>
    <w:p w:rsidR="00CE2242" w:rsidRPr="00CE2242" w:rsidRDefault="00CE2242" w:rsidP="00CE2242">
      <w:pPr>
        <w:pStyle w:val="Default"/>
        <w:rPr>
          <w:sz w:val="22"/>
          <w:szCs w:val="22"/>
        </w:rPr>
      </w:pPr>
    </w:p>
    <w:p w:rsidR="00CE2242" w:rsidRPr="00CE2242" w:rsidRDefault="00CE2242" w:rsidP="00CE2242">
      <w:pPr>
        <w:pStyle w:val="Default"/>
        <w:rPr>
          <w:sz w:val="22"/>
          <w:szCs w:val="22"/>
        </w:rPr>
      </w:pPr>
      <w:r>
        <w:rPr>
          <w:sz w:val="22"/>
          <w:szCs w:val="22"/>
        </w:rPr>
        <w:t>M. C. Heidenreich and M.</w:t>
      </w:r>
      <w:r w:rsidR="003F29D7">
        <w:rPr>
          <w:sz w:val="22"/>
          <w:szCs w:val="22"/>
        </w:rPr>
        <w:t xml:space="preserve"> </w:t>
      </w:r>
      <w:r>
        <w:rPr>
          <w:sz w:val="22"/>
          <w:szCs w:val="22"/>
        </w:rPr>
        <w:t xml:space="preserve">P. Pritts, </w:t>
      </w:r>
      <w:r w:rsidRPr="00CE2242">
        <w:rPr>
          <w:sz w:val="22"/>
          <w:szCs w:val="22"/>
        </w:rPr>
        <w:t>Dept. of Horticulture</w:t>
      </w:r>
      <w:r>
        <w:rPr>
          <w:sz w:val="22"/>
          <w:szCs w:val="22"/>
        </w:rPr>
        <w:t>, Cornell</w:t>
      </w:r>
      <w:r w:rsidRPr="00CE2242">
        <w:rPr>
          <w:sz w:val="22"/>
          <w:szCs w:val="22"/>
        </w:rPr>
        <w:t xml:space="preserve"> University, </w:t>
      </w:r>
      <w:r>
        <w:rPr>
          <w:sz w:val="22"/>
          <w:szCs w:val="22"/>
        </w:rPr>
        <w:t>Ithaca, NY 14853</w:t>
      </w:r>
    </w:p>
    <w:p w:rsidR="00CE2242" w:rsidRPr="00CE2242" w:rsidRDefault="00CE2242" w:rsidP="00CE2242">
      <w:pPr>
        <w:pStyle w:val="Default"/>
        <w:rPr>
          <w:sz w:val="22"/>
          <w:szCs w:val="22"/>
        </w:rPr>
      </w:pPr>
    </w:p>
    <w:p w:rsidR="00CE2242" w:rsidRPr="00CE2242" w:rsidRDefault="00CE2242" w:rsidP="00CE2242">
      <w:pPr>
        <w:spacing w:line="240" w:lineRule="auto"/>
        <w:ind w:firstLine="720"/>
        <w:rPr>
          <w:rFonts w:ascii="Times New Roman" w:hAnsi="Times New Roman" w:cs="Times New Roman"/>
          <w:color w:val="000000"/>
        </w:rPr>
      </w:pPr>
      <w:r w:rsidRPr="00CE2242">
        <w:rPr>
          <w:rFonts w:ascii="Times New Roman" w:hAnsi="Times New Roman" w:cs="Times New Roman"/>
          <w:color w:val="000000"/>
        </w:rPr>
        <w:t xml:space="preserve">Commercial berry growers in the Northeast have traditionally made standardized fertilizer applications based on crop </w:t>
      </w:r>
      <w:r w:rsidR="00670B3F">
        <w:rPr>
          <w:rFonts w:ascii="Times New Roman" w:hAnsi="Times New Roman" w:cs="Times New Roman"/>
          <w:color w:val="000000"/>
        </w:rPr>
        <w:t>ag</w:t>
      </w:r>
      <w:r w:rsidRPr="00CE2242">
        <w:rPr>
          <w:rFonts w:ascii="Times New Roman" w:hAnsi="Times New Roman" w:cs="Times New Roman"/>
          <w:color w:val="000000"/>
        </w:rPr>
        <w:t xml:space="preserve">e. This practice continues today, some 10 years or more after commercial berry crop guidelines for analysis-based fertilization programs became widely available. Adoption of soil health improving practices has also been slow. </w:t>
      </w:r>
    </w:p>
    <w:p w:rsidR="00CE2242" w:rsidRPr="00CE2242" w:rsidRDefault="00CE2242" w:rsidP="00CE2242">
      <w:pPr>
        <w:spacing w:line="240" w:lineRule="auto"/>
        <w:rPr>
          <w:rFonts w:ascii="Times New Roman" w:hAnsi="Times New Roman" w:cs="Times New Roman"/>
          <w:color w:val="000000"/>
        </w:rPr>
      </w:pPr>
      <w:r w:rsidRPr="00CE2242">
        <w:rPr>
          <w:rFonts w:ascii="Times New Roman" w:hAnsi="Times New Roman" w:cs="Times New Roman"/>
          <w:color w:val="000000"/>
        </w:rPr>
        <w:t>Research demonstrates an analysis-based approach to berry crop nutrition provides increased yields along with better fruit quality and plant health. Use of soil health man</w:t>
      </w:r>
      <w:r w:rsidR="00670B3F">
        <w:rPr>
          <w:rFonts w:ascii="Times New Roman" w:hAnsi="Times New Roman" w:cs="Times New Roman"/>
          <w:color w:val="000000"/>
        </w:rPr>
        <w:t>ag</w:t>
      </w:r>
      <w:r w:rsidRPr="00CE2242">
        <w:rPr>
          <w:rFonts w:ascii="Times New Roman" w:hAnsi="Times New Roman" w:cs="Times New Roman"/>
          <w:color w:val="000000"/>
        </w:rPr>
        <w:t>ement practices (i.e. cover cropping) has been shown to reduce weed, nematode and soil-borne disease pressure, along with improving soil</w:t>
      </w:r>
      <w:r>
        <w:rPr>
          <w:rFonts w:ascii="Times New Roman" w:hAnsi="Times New Roman" w:cs="Times New Roman"/>
          <w:color w:val="000000"/>
        </w:rPr>
        <w:t xml:space="preserve"> tilth, organic matter and nutr</w:t>
      </w:r>
      <w:r w:rsidRPr="00CE2242">
        <w:rPr>
          <w:rFonts w:ascii="Times New Roman" w:hAnsi="Times New Roman" w:cs="Times New Roman"/>
          <w:color w:val="000000"/>
        </w:rPr>
        <w:t>ient content. Rising costs of products and concerns about environmental impacts of fertilizers make a whole farm approach to berry crop nutrient and soil man</w:t>
      </w:r>
      <w:r w:rsidR="00670B3F">
        <w:rPr>
          <w:rFonts w:ascii="Times New Roman" w:hAnsi="Times New Roman" w:cs="Times New Roman"/>
          <w:color w:val="000000"/>
        </w:rPr>
        <w:t>ag</w:t>
      </w:r>
      <w:r w:rsidRPr="00CE2242">
        <w:rPr>
          <w:rFonts w:ascii="Times New Roman" w:hAnsi="Times New Roman" w:cs="Times New Roman"/>
          <w:color w:val="000000"/>
        </w:rPr>
        <w:t xml:space="preserve">ement highly desirable. </w:t>
      </w:r>
    </w:p>
    <w:p w:rsidR="00CE2242" w:rsidRPr="00CE2242" w:rsidRDefault="00670B3F" w:rsidP="00CE2242">
      <w:pPr>
        <w:spacing w:line="240" w:lineRule="auto"/>
        <w:rPr>
          <w:rFonts w:ascii="Times New Roman" w:hAnsi="Times New Roman" w:cs="Times New Roman"/>
          <w:color w:val="000000"/>
        </w:rPr>
      </w:pPr>
      <w:r>
        <w:rPr>
          <w:rFonts w:ascii="Times New Roman" w:hAnsi="Times New Roman" w:cs="Times New Roman"/>
          <w:color w:val="000000"/>
        </w:rPr>
        <w:t>Ag</w:t>
      </w:r>
      <w:r w:rsidR="00CE2242" w:rsidRPr="00CE2242">
        <w:rPr>
          <w:rFonts w:ascii="Times New Roman" w:hAnsi="Times New Roman" w:cs="Times New Roman"/>
          <w:color w:val="000000"/>
        </w:rPr>
        <w:t xml:space="preserve"> </w:t>
      </w:r>
      <w:r w:rsidR="003F29D7" w:rsidRPr="00CE2242">
        <w:rPr>
          <w:rFonts w:ascii="Times New Roman" w:hAnsi="Times New Roman" w:cs="Times New Roman"/>
          <w:color w:val="000000"/>
        </w:rPr>
        <w:t>educators</w:t>
      </w:r>
      <w:r w:rsidR="00CE2242" w:rsidRPr="00CE2242">
        <w:rPr>
          <w:rFonts w:ascii="Times New Roman" w:hAnsi="Times New Roman" w:cs="Times New Roman"/>
          <w:color w:val="000000"/>
        </w:rPr>
        <w:t xml:space="preserve"> frequently called on to cover multiple commodities and/or information areas outside their field of expertise, often struggle to assist commercial berry growers with berry crop soil and nutrient problems. No single comprehensive resource on this topic is currently available for either educators or growers.</w:t>
      </w:r>
    </w:p>
    <w:p w:rsidR="00CE2242" w:rsidRPr="00CE2242" w:rsidRDefault="003F29D7" w:rsidP="00CE2242">
      <w:pPr>
        <w:spacing w:line="240" w:lineRule="auto"/>
        <w:rPr>
          <w:rFonts w:ascii="Times New Roman" w:hAnsi="Times New Roman" w:cs="Times New Roman"/>
          <w:color w:val="000000"/>
        </w:rPr>
      </w:pPr>
      <w:r>
        <w:rPr>
          <w:rFonts w:ascii="Times New Roman" w:hAnsi="Times New Roman" w:cs="Times New Roman"/>
          <w:color w:val="000000"/>
        </w:rPr>
        <w:t>A</w:t>
      </w:r>
      <w:r w:rsidRPr="00CE2242">
        <w:rPr>
          <w:rFonts w:ascii="Times New Roman" w:hAnsi="Times New Roman" w:cs="Times New Roman"/>
          <w:color w:val="000000"/>
        </w:rPr>
        <w:t xml:space="preserve"> 2 year project, led by Dr. Marvin P</w:t>
      </w:r>
      <w:r w:rsidR="00670B3F">
        <w:rPr>
          <w:rFonts w:ascii="Times New Roman" w:hAnsi="Times New Roman" w:cs="Times New Roman"/>
          <w:color w:val="000000"/>
        </w:rPr>
        <w:t>ritts, Small Fruit Horticultur</w:t>
      </w:r>
      <w:r w:rsidRPr="00CE2242">
        <w:rPr>
          <w:rFonts w:ascii="Times New Roman" w:hAnsi="Times New Roman" w:cs="Times New Roman"/>
          <w:color w:val="000000"/>
        </w:rPr>
        <w:t xml:space="preserve">ist and </w:t>
      </w:r>
      <w:r>
        <w:rPr>
          <w:rFonts w:ascii="Times New Roman" w:hAnsi="Times New Roman" w:cs="Times New Roman"/>
          <w:color w:val="000000"/>
        </w:rPr>
        <w:t xml:space="preserve">Berry Crop Nutrition Specialist and funded by the North East Sustainable Research and Education program (NE SARE), began in September 2011 to </w:t>
      </w:r>
      <w:r w:rsidRPr="00CE2242">
        <w:rPr>
          <w:rFonts w:ascii="Times New Roman" w:hAnsi="Times New Roman" w:cs="Times New Roman"/>
          <w:color w:val="000000"/>
        </w:rPr>
        <w:t xml:space="preserve"> provide in-depth berry crop nutrition and soil man</w:t>
      </w:r>
      <w:r w:rsidR="00670B3F">
        <w:rPr>
          <w:rFonts w:ascii="Times New Roman" w:hAnsi="Times New Roman" w:cs="Times New Roman"/>
          <w:color w:val="000000"/>
        </w:rPr>
        <w:t>ag</w:t>
      </w:r>
      <w:r w:rsidRPr="00CE2242">
        <w:rPr>
          <w:rFonts w:ascii="Times New Roman" w:hAnsi="Times New Roman" w:cs="Times New Roman"/>
          <w:color w:val="000000"/>
        </w:rPr>
        <w:t xml:space="preserve">ement training and resources for </w:t>
      </w:r>
      <w:r w:rsidR="00670B3F">
        <w:rPr>
          <w:rFonts w:ascii="Times New Roman" w:hAnsi="Times New Roman" w:cs="Times New Roman"/>
          <w:color w:val="000000"/>
        </w:rPr>
        <w:t>ag</w:t>
      </w:r>
      <w:r w:rsidRPr="00CE2242">
        <w:rPr>
          <w:rFonts w:ascii="Times New Roman" w:hAnsi="Times New Roman" w:cs="Times New Roman"/>
          <w:color w:val="000000"/>
        </w:rPr>
        <w:t xml:space="preserve"> educators and the commercial berry growers they serve. </w:t>
      </w:r>
      <w:r w:rsidR="00CE2242" w:rsidRPr="00CE2242">
        <w:rPr>
          <w:rFonts w:ascii="Times New Roman" w:hAnsi="Times New Roman" w:cs="Times New Roman"/>
          <w:color w:val="000000"/>
        </w:rPr>
        <w:t xml:space="preserve">Year one of the project </w:t>
      </w:r>
      <w:r w:rsidR="00CE2242">
        <w:rPr>
          <w:rFonts w:ascii="Times New Roman" w:hAnsi="Times New Roman" w:cs="Times New Roman"/>
          <w:color w:val="000000"/>
        </w:rPr>
        <w:t>is</w:t>
      </w:r>
      <w:r w:rsidR="00CE2242" w:rsidRPr="00CE2242">
        <w:rPr>
          <w:rFonts w:ascii="Times New Roman" w:hAnsi="Times New Roman" w:cs="Times New Roman"/>
          <w:color w:val="000000"/>
        </w:rPr>
        <w:t xml:space="preserve"> focus</w:t>
      </w:r>
      <w:r w:rsidR="00CE2242">
        <w:rPr>
          <w:rFonts w:ascii="Times New Roman" w:hAnsi="Times New Roman" w:cs="Times New Roman"/>
          <w:color w:val="000000"/>
        </w:rPr>
        <w:t>ing</w:t>
      </w:r>
      <w:r w:rsidR="00CE2242" w:rsidRPr="00CE2242">
        <w:rPr>
          <w:rFonts w:ascii="Times New Roman" w:hAnsi="Times New Roman" w:cs="Times New Roman"/>
          <w:color w:val="000000"/>
        </w:rPr>
        <w:t xml:space="preserve"> on helping </w:t>
      </w:r>
      <w:r w:rsidR="00670B3F">
        <w:rPr>
          <w:rFonts w:ascii="Times New Roman" w:hAnsi="Times New Roman" w:cs="Times New Roman"/>
          <w:color w:val="000000"/>
        </w:rPr>
        <w:t>ag</w:t>
      </w:r>
      <w:r w:rsidR="00CE2242" w:rsidRPr="00CE2242">
        <w:rPr>
          <w:rFonts w:ascii="Times New Roman" w:hAnsi="Times New Roman" w:cs="Times New Roman"/>
          <w:color w:val="000000"/>
        </w:rPr>
        <w:t xml:space="preserve"> educators build berry crop nutrient and soil man</w:t>
      </w:r>
      <w:r w:rsidR="00670B3F">
        <w:rPr>
          <w:rFonts w:ascii="Times New Roman" w:hAnsi="Times New Roman" w:cs="Times New Roman"/>
          <w:color w:val="000000"/>
        </w:rPr>
        <w:t>ag</w:t>
      </w:r>
      <w:r w:rsidR="00CE2242" w:rsidRPr="00CE2242">
        <w:rPr>
          <w:rFonts w:ascii="Times New Roman" w:hAnsi="Times New Roman" w:cs="Times New Roman"/>
          <w:color w:val="000000"/>
        </w:rPr>
        <w:t xml:space="preserve">ement expertise through 1) a series of 12 in depth webinars and case study learning modules on the subject and 2) development of internet resources to be used by educators in grower training. Year 2 of the project will focus on assisting </w:t>
      </w:r>
      <w:r w:rsidR="00670B3F">
        <w:rPr>
          <w:rFonts w:ascii="Times New Roman" w:hAnsi="Times New Roman" w:cs="Times New Roman"/>
          <w:color w:val="000000"/>
        </w:rPr>
        <w:t>ag</w:t>
      </w:r>
      <w:r w:rsidR="00CE2242" w:rsidRPr="00CE2242">
        <w:rPr>
          <w:rFonts w:ascii="Times New Roman" w:hAnsi="Times New Roman" w:cs="Times New Roman"/>
          <w:color w:val="000000"/>
        </w:rPr>
        <w:t xml:space="preserve"> educators to 3) develop and implement grower training programs and 4) carry out one-on-one consultations with participating growers. Year 2 will also involve educators in monitoring adoption and success of analysis-based berry crop nutrient and soil health man</w:t>
      </w:r>
      <w:r w:rsidR="00670B3F">
        <w:rPr>
          <w:rFonts w:ascii="Times New Roman" w:hAnsi="Times New Roman" w:cs="Times New Roman"/>
          <w:color w:val="000000"/>
        </w:rPr>
        <w:t>ag</w:t>
      </w:r>
      <w:r w:rsidR="00CE2242" w:rsidRPr="00CE2242">
        <w:rPr>
          <w:rFonts w:ascii="Times New Roman" w:hAnsi="Times New Roman" w:cs="Times New Roman"/>
          <w:color w:val="000000"/>
        </w:rPr>
        <w:t>ement by growers.</w:t>
      </w:r>
    </w:p>
    <w:p w:rsidR="00CE2242" w:rsidRPr="00CE2242" w:rsidRDefault="00CE2242" w:rsidP="00CE2242">
      <w:pPr>
        <w:spacing w:line="240" w:lineRule="auto"/>
        <w:rPr>
          <w:rFonts w:ascii="Times New Roman" w:hAnsi="Times New Roman" w:cs="Times New Roman"/>
          <w:color w:val="000000"/>
        </w:rPr>
      </w:pPr>
      <w:r w:rsidRPr="00CE2242">
        <w:rPr>
          <w:rFonts w:ascii="Times New Roman" w:hAnsi="Times New Roman" w:cs="Times New Roman"/>
          <w:color w:val="000000"/>
        </w:rPr>
        <w:t>A whole farm soil and nutrient man</w:t>
      </w:r>
      <w:r w:rsidR="00670B3F">
        <w:rPr>
          <w:rFonts w:ascii="Times New Roman" w:hAnsi="Times New Roman" w:cs="Times New Roman"/>
          <w:color w:val="000000"/>
        </w:rPr>
        <w:t>ag</w:t>
      </w:r>
      <w:r w:rsidRPr="00CE2242">
        <w:rPr>
          <w:rFonts w:ascii="Times New Roman" w:hAnsi="Times New Roman" w:cs="Times New Roman"/>
          <w:color w:val="000000"/>
        </w:rPr>
        <w:t xml:space="preserve">ement decision tool for commercial berry crops will be developed from existing resources. This tool, along with accompanying </w:t>
      </w:r>
      <w:r w:rsidR="00670B3F">
        <w:rPr>
          <w:rFonts w:ascii="Times New Roman" w:hAnsi="Times New Roman" w:cs="Times New Roman"/>
          <w:color w:val="000000"/>
        </w:rPr>
        <w:t>ag</w:t>
      </w:r>
      <w:r w:rsidRPr="00CE2242">
        <w:rPr>
          <w:rFonts w:ascii="Times New Roman" w:hAnsi="Times New Roman" w:cs="Times New Roman"/>
          <w:color w:val="000000"/>
        </w:rPr>
        <w:t xml:space="preserve"> educator and commercial grower training materials, made available via an internet web site, will provide a “one-stop-shop” resource for </w:t>
      </w:r>
      <w:r w:rsidR="00670B3F">
        <w:rPr>
          <w:rFonts w:ascii="Times New Roman" w:hAnsi="Times New Roman" w:cs="Times New Roman"/>
          <w:color w:val="000000"/>
        </w:rPr>
        <w:t>ag</w:t>
      </w:r>
      <w:r w:rsidRPr="00CE2242">
        <w:rPr>
          <w:rFonts w:ascii="Times New Roman" w:hAnsi="Times New Roman" w:cs="Times New Roman"/>
          <w:color w:val="000000"/>
        </w:rPr>
        <w:t xml:space="preserve"> educators interested in building skills or providing training and/or commercial berry growers interested in improving berry crop soil and nutrient man</w:t>
      </w:r>
      <w:r w:rsidR="00670B3F">
        <w:rPr>
          <w:rFonts w:ascii="Times New Roman" w:hAnsi="Times New Roman" w:cs="Times New Roman"/>
          <w:color w:val="000000"/>
        </w:rPr>
        <w:t>ag</w:t>
      </w:r>
      <w:r w:rsidRPr="00CE2242">
        <w:rPr>
          <w:rFonts w:ascii="Times New Roman" w:hAnsi="Times New Roman" w:cs="Times New Roman"/>
          <w:color w:val="000000"/>
        </w:rPr>
        <w:t>ement. Soil and nutrient man</w:t>
      </w:r>
      <w:r w:rsidR="00670B3F">
        <w:rPr>
          <w:rFonts w:ascii="Times New Roman" w:hAnsi="Times New Roman" w:cs="Times New Roman"/>
          <w:color w:val="000000"/>
        </w:rPr>
        <w:t>ag</w:t>
      </w:r>
      <w:r w:rsidRPr="00CE2242">
        <w:rPr>
          <w:rFonts w:ascii="Times New Roman" w:hAnsi="Times New Roman" w:cs="Times New Roman"/>
          <w:color w:val="000000"/>
        </w:rPr>
        <w:t>ement principles and practices gained through this project will have application to other cr</w:t>
      </w:r>
      <w:r>
        <w:rPr>
          <w:rFonts w:ascii="Times New Roman" w:hAnsi="Times New Roman" w:cs="Times New Roman"/>
          <w:color w:val="000000"/>
        </w:rPr>
        <w:t>ops currently or in the future.</w:t>
      </w:r>
    </w:p>
    <w:p w:rsidR="00E12120" w:rsidRDefault="00CE2242" w:rsidP="00CE2242">
      <w:pPr>
        <w:spacing w:line="240" w:lineRule="auto"/>
        <w:rPr>
          <w:rFonts w:ascii="Times New Roman" w:hAnsi="Times New Roman" w:cs="Times New Roman"/>
          <w:color w:val="000000"/>
        </w:rPr>
      </w:pPr>
      <w:r>
        <w:rPr>
          <w:rFonts w:ascii="Times New Roman" w:hAnsi="Times New Roman" w:cs="Times New Roman"/>
          <w:color w:val="000000"/>
        </w:rPr>
        <w:t>The project goal is for f</w:t>
      </w:r>
      <w:r w:rsidRPr="00CE2242">
        <w:rPr>
          <w:rFonts w:ascii="Times New Roman" w:hAnsi="Times New Roman" w:cs="Times New Roman"/>
          <w:color w:val="000000"/>
        </w:rPr>
        <w:t xml:space="preserve">ifty educators from across the Northeast </w:t>
      </w:r>
      <w:r>
        <w:rPr>
          <w:rFonts w:ascii="Times New Roman" w:hAnsi="Times New Roman" w:cs="Times New Roman"/>
          <w:color w:val="000000"/>
        </w:rPr>
        <w:t>to</w:t>
      </w:r>
      <w:r w:rsidRPr="00CE2242">
        <w:rPr>
          <w:rFonts w:ascii="Times New Roman" w:hAnsi="Times New Roman" w:cs="Times New Roman"/>
          <w:color w:val="000000"/>
        </w:rPr>
        <w:t xml:space="preserve"> participate in an in depth webinar series to expand their expertise in berry crop nutrient and soil man</w:t>
      </w:r>
      <w:r w:rsidR="00670B3F">
        <w:rPr>
          <w:rFonts w:ascii="Times New Roman" w:hAnsi="Times New Roman" w:cs="Times New Roman"/>
          <w:color w:val="000000"/>
        </w:rPr>
        <w:t>ag</w:t>
      </w:r>
      <w:r w:rsidRPr="00CE2242">
        <w:rPr>
          <w:rFonts w:ascii="Times New Roman" w:hAnsi="Times New Roman" w:cs="Times New Roman"/>
          <w:color w:val="000000"/>
        </w:rPr>
        <w:t>ement; of those, 15 will develop and deliver outreach programs on the same, reaching 150 berry growers who man</w:t>
      </w:r>
      <w:r w:rsidR="00670B3F">
        <w:rPr>
          <w:rFonts w:ascii="Times New Roman" w:hAnsi="Times New Roman" w:cs="Times New Roman"/>
          <w:color w:val="000000"/>
        </w:rPr>
        <w:t>ag</w:t>
      </w:r>
      <w:r w:rsidRPr="00CE2242">
        <w:rPr>
          <w:rFonts w:ascii="Times New Roman" w:hAnsi="Times New Roman" w:cs="Times New Roman"/>
          <w:color w:val="000000"/>
        </w:rPr>
        <w:t>e a total of 750 acres of berry crops; 50 growers will participate in preliminary soil, nutrient and soil health testing, receive one-on-one assistance with interpretation of results, and implement analysis-based fertilization and soil health man</w:t>
      </w:r>
      <w:r w:rsidR="00670B3F">
        <w:rPr>
          <w:rFonts w:ascii="Times New Roman" w:hAnsi="Times New Roman" w:cs="Times New Roman"/>
          <w:color w:val="000000"/>
        </w:rPr>
        <w:t>ag</w:t>
      </w:r>
      <w:r w:rsidRPr="00CE2242">
        <w:rPr>
          <w:rFonts w:ascii="Times New Roman" w:hAnsi="Times New Roman" w:cs="Times New Roman"/>
          <w:color w:val="000000"/>
        </w:rPr>
        <w:t>ement practices on farm.</w:t>
      </w:r>
    </w:p>
    <w:p w:rsidR="00CE2242" w:rsidRPr="00CD72DA" w:rsidRDefault="00CE2242" w:rsidP="00CE2242">
      <w:pPr>
        <w:spacing w:line="240" w:lineRule="auto"/>
        <w:rPr>
          <w:rFonts w:ascii="Times New Roman" w:hAnsi="Times New Roman" w:cs="Times New Roman"/>
          <w:b/>
          <w:color w:val="000000"/>
        </w:rPr>
      </w:pPr>
      <w:r w:rsidRPr="00CD72DA">
        <w:rPr>
          <w:rFonts w:ascii="Times New Roman" w:hAnsi="Times New Roman" w:cs="Times New Roman"/>
          <w:b/>
          <w:color w:val="000000"/>
        </w:rPr>
        <w:t xml:space="preserve">Progress to Date: </w:t>
      </w:r>
    </w:p>
    <w:p w:rsidR="00CD72DA" w:rsidRDefault="00CD72DA" w:rsidP="00CD72DA">
      <w:pPr>
        <w:spacing w:line="240" w:lineRule="auto"/>
        <w:rPr>
          <w:rFonts w:ascii="Times New Roman" w:hAnsi="Times New Roman" w:cs="Times New Roman"/>
          <w:color w:val="000000"/>
        </w:rPr>
      </w:pPr>
      <w:r>
        <w:rPr>
          <w:rFonts w:ascii="Times New Roman" w:hAnsi="Times New Roman" w:cs="Times New Roman"/>
          <w:color w:val="000000"/>
        </w:rPr>
        <w:t>Registration for the series met with excellent response; 70 are registered and participating to</w:t>
      </w:r>
      <w:r w:rsidR="0049027E">
        <w:rPr>
          <w:rFonts w:ascii="Times New Roman" w:hAnsi="Times New Roman" w:cs="Times New Roman"/>
          <w:color w:val="000000"/>
        </w:rPr>
        <w:t xml:space="preserve"> date</w:t>
      </w:r>
      <w:r>
        <w:rPr>
          <w:rFonts w:ascii="Times New Roman" w:hAnsi="Times New Roman" w:cs="Times New Roman"/>
          <w:color w:val="000000"/>
        </w:rPr>
        <w:t>.</w:t>
      </w:r>
      <w:r w:rsidR="0049027E">
        <w:rPr>
          <w:rFonts w:ascii="Times New Roman" w:hAnsi="Times New Roman" w:cs="Times New Roman"/>
          <w:color w:val="000000"/>
        </w:rPr>
        <w:t xml:space="preserve"> </w:t>
      </w:r>
      <w:r w:rsidR="00CE2242">
        <w:rPr>
          <w:rFonts w:ascii="Times New Roman" w:hAnsi="Times New Roman" w:cs="Times New Roman"/>
          <w:color w:val="000000"/>
        </w:rPr>
        <w:t xml:space="preserve">The </w:t>
      </w:r>
      <w:r w:rsidR="00670B3F">
        <w:rPr>
          <w:rFonts w:ascii="Times New Roman" w:hAnsi="Times New Roman" w:cs="Times New Roman"/>
          <w:color w:val="000000"/>
        </w:rPr>
        <w:t>ag</w:t>
      </w:r>
      <w:r w:rsidR="00CE2242">
        <w:rPr>
          <w:rFonts w:ascii="Times New Roman" w:hAnsi="Times New Roman" w:cs="Times New Roman"/>
          <w:color w:val="000000"/>
        </w:rPr>
        <w:t xml:space="preserve"> educator webinar series began on 9/30/11 with an introductory webinar on the project. </w:t>
      </w:r>
      <w:r>
        <w:rPr>
          <w:rFonts w:ascii="Times New Roman" w:hAnsi="Times New Roman" w:cs="Times New Roman"/>
          <w:color w:val="000000"/>
        </w:rPr>
        <w:t xml:space="preserve">The initial 2 </w:t>
      </w:r>
      <w:r>
        <w:rPr>
          <w:rFonts w:ascii="Times New Roman" w:hAnsi="Times New Roman" w:cs="Times New Roman"/>
          <w:color w:val="000000"/>
        </w:rPr>
        <w:lastRenderedPageBreak/>
        <w:t xml:space="preserve">webinars aired in the weeks immediately following and feedback has been good.  </w:t>
      </w:r>
      <w:r w:rsidR="0049027E">
        <w:rPr>
          <w:rFonts w:ascii="Times New Roman" w:hAnsi="Times New Roman" w:cs="Times New Roman"/>
          <w:color w:val="000000"/>
        </w:rPr>
        <w:t xml:space="preserve">Additional webinars are slated for the first 2 Fridays of each month through March 2012. </w:t>
      </w:r>
      <w:r>
        <w:rPr>
          <w:rFonts w:ascii="Times New Roman" w:hAnsi="Times New Roman" w:cs="Times New Roman"/>
          <w:color w:val="000000"/>
        </w:rPr>
        <w:t xml:space="preserve">All webinars are being recorded for later viewing/reviewing. Table 1 shows numbers of participants from various states and Canada. </w:t>
      </w:r>
    </w:p>
    <w:p w:rsidR="00CD72DA" w:rsidRDefault="00CD72DA" w:rsidP="00CD72DA">
      <w:pPr>
        <w:spacing w:line="240" w:lineRule="auto"/>
        <w:rPr>
          <w:rFonts w:ascii="Times New Roman" w:hAnsi="Times New Roman" w:cs="Times New Roman"/>
          <w:color w:val="000000"/>
        </w:rPr>
      </w:pPr>
      <w:r>
        <w:rPr>
          <w:rFonts w:ascii="Times New Roman" w:hAnsi="Times New Roman" w:cs="Times New Roman"/>
          <w:color w:val="000000"/>
        </w:rPr>
        <w:t xml:space="preserve">Of the registered educator participants </w:t>
      </w:r>
      <w:r w:rsidRPr="00CD72DA">
        <w:rPr>
          <w:rFonts w:ascii="Times New Roman" w:hAnsi="Times New Roman" w:cs="Times New Roman"/>
          <w:color w:val="000000"/>
        </w:rPr>
        <w:t xml:space="preserve">48 </w:t>
      </w:r>
      <w:r>
        <w:rPr>
          <w:rFonts w:ascii="Times New Roman" w:hAnsi="Times New Roman" w:cs="Times New Roman"/>
          <w:color w:val="000000"/>
        </w:rPr>
        <w:t xml:space="preserve">are </w:t>
      </w:r>
      <w:r w:rsidRPr="00CD72DA">
        <w:rPr>
          <w:rFonts w:ascii="Times New Roman" w:hAnsi="Times New Roman" w:cs="Times New Roman"/>
          <w:color w:val="000000"/>
        </w:rPr>
        <w:t>associated with a college or university</w:t>
      </w:r>
      <w:r>
        <w:rPr>
          <w:rFonts w:ascii="Times New Roman" w:hAnsi="Times New Roman" w:cs="Times New Roman"/>
          <w:color w:val="000000"/>
        </w:rPr>
        <w:t xml:space="preserve">; </w:t>
      </w:r>
      <w:r w:rsidRPr="00CD72DA">
        <w:rPr>
          <w:rFonts w:ascii="Times New Roman" w:hAnsi="Times New Roman" w:cs="Times New Roman"/>
          <w:color w:val="000000"/>
        </w:rPr>
        <w:t xml:space="preserve">12 </w:t>
      </w:r>
      <w:r>
        <w:rPr>
          <w:rFonts w:ascii="Times New Roman" w:hAnsi="Times New Roman" w:cs="Times New Roman"/>
          <w:color w:val="000000"/>
        </w:rPr>
        <w:t xml:space="preserve">are </w:t>
      </w:r>
      <w:r w:rsidRPr="00CD72DA">
        <w:rPr>
          <w:rFonts w:ascii="Times New Roman" w:hAnsi="Times New Roman" w:cs="Times New Roman"/>
          <w:color w:val="000000"/>
        </w:rPr>
        <w:t xml:space="preserve">associated with a government </w:t>
      </w:r>
      <w:r w:rsidR="00670B3F">
        <w:rPr>
          <w:rFonts w:ascii="Times New Roman" w:hAnsi="Times New Roman" w:cs="Times New Roman"/>
          <w:color w:val="000000"/>
        </w:rPr>
        <w:t>ag</w:t>
      </w:r>
      <w:r w:rsidRPr="00CD72DA">
        <w:rPr>
          <w:rFonts w:ascii="Times New Roman" w:hAnsi="Times New Roman" w:cs="Times New Roman"/>
          <w:color w:val="000000"/>
        </w:rPr>
        <w:t>ency</w:t>
      </w:r>
      <w:r>
        <w:rPr>
          <w:rFonts w:ascii="Times New Roman" w:hAnsi="Times New Roman" w:cs="Times New Roman"/>
          <w:color w:val="000000"/>
        </w:rPr>
        <w:t xml:space="preserve">, </w:t>
      </w:r>
      <w:r w:rsidRPr="00CD72DA">
        <w:rPr>
          <w:rFonts w:ascii="Times New Roman" w:hAnsi="Times New Roman" w:cs="Times New Roman"/>
          <w:color w:val="000000"/>
        </w:rPr>
        <w:t xml:space="preserve">40 </w:t>
      </w:r>
      <w:r>
        <w:rPr>
          <w:rFonts w:ascii="Times New Roman" w:hAnsi="Times New Roman" w:cs="Times New Roman"/>
          <w:color w:val="000000"/>
        </w:rPr>
        <w:t xml:space="preserve">are </w:t>
      </w:r>
      <w:r w:rsidRPr="00CD72DA">
        <w:rPr>
          <w:rFonts w:ascii="Times New Roman" w:hAnsi="Times New Roman" w:cs="Times New Roman"/>
          <w:color w:val="000000"/>
        </w:rPr>
        <w:t>involved in extension activities</w:t>
      </w:r>
      <w:r>
        <w:rPr>
          <w:rFonts w:ascii="Times New Roman" w:hAnsi="Times New Roman" w:cs="Times New Roman"/>
          <w:color w:val="000000"/>
        </w:rPr>
        <w:t xml:space="preserve">, </w:t>
      </w:r>
      <w:r w:rsidRPr="00CD72DA">
        <w:rPr>
          <w:rFonts w:ascii="Times New Roman" w:hAnsi="Times New Roman" w:cs="Times New Roman"/>
          <w:color w:val="000000"/>
        </w:rPr>
        <w:t xml:space="preserve">8 </w:t>
      </w:r>
      <w:r>
        <w:rPr>
          <w:rFonts w:ascii="Times New Roman" w:hAnsi="Times New Roman" w:cs="Times New Roman"/>
          <w:color w:val="000000"/>
        </w:rPr>
        <w:t xml:space="preserve">are </w:t>
      </w:r>
      <w:r w:rsidRPr="00CD72DA">
        <w:rPr>
          <w:rFonts w:ascii="Times New Roman" w:hAnsi="Times New Roman" w:cs="Times New Roman"/>
          <w:color w:val="000000"/>
        </w:rPr>
        <w:t>associated with USDA NRCS</w:t>
      </w:r>
      <w:r>
        <w:rPr>
          <w:rFonts w:ascii="Times New Roman" w:hAnsi="Times New Roman" w:cs="Times New Roman"/>
          <w:color w:val="000000"/>
        </w:rPr>
        <w:t xml:space="preserve">, </w:t>
      </w:r>
      <w:r w:rsidRPr="00CD72DA">
        <w:rPr>
          <w:rFonts w:ascii="Times New Roman" w:hAnsi="Times New Roman" w:cs="Times New Roman"/>
          <w:color w:val="000000"/>
        </w:rPr>
        <w:t>3</w:t>
      </w:r>
      <w:r>
        <w:rPr>
          <w:rFonts w:ascii="Times New Roman" w:hAnsi="Times New Roman" w:cs="Times New Roman"/>
          <w:color w:val="000000"/>
        </w:rPr>
        <w:t xml:space="preserve"> are</w:t>
      </w:r>
      <w:r w:rsidRPr="00CD72DA">
        <w:rPr>
          <w:rFonts w:ascii="Times New Roman" w:hAnsi="Times New Roman" w:cs="Times New Roman"/>
          <w:color w:val="000000"/>
        </w:rPr>
        <w:t xml:space="preserve"> associated with organic production/producers</w:t>
      </w:r>
      <w:r>
        <w:rPr>
          <w:rFonts w:ascii="Times New Roman" w:hAnsi="Times New Roman" w:cs="Times New Roman"/>
          <w:color w:val="000000"/>
        </w:rPr>
        <w:t xml:space="preserve">, and </w:t>
      </w:r>
      <w:r w:rsidRPr="00CD72DA">
        <w:rPr>
          <w:rFonts w:ascii="Times New Roman" w:hAnsi="Times New Roman" w:cs="Times New Roman"/>
          <w:color w:val="000000"/>
        </w:rPr>
        <w:t xml:space="preserve">7 </w:t>
      </w:r>
      <w:r>
        <w:rPr>
          <w:rFonts w:ascii="Times New Roman" w:hAnsi="Times New Roman" w:cs="Times New Roman"/>
          <w:color w:val="000000"/>
        </w:rPr>
        <w:t xml:space="preserve">are </w:t>
      </w:r>
      <w:r w:rsidRPr="00CD72DA">
        <w:rPr>
          <w:rFonts w:ascii="Times New Roman" w:hAnsi="Times New Roman" w:cs="Times New Roman"/>
          <w:color w:val="000000"/>
        </w:rPr>
        <w:t>associated with other enterprises</w:t>
      </w:r>
      <w:r>
        <w:rPr>
          <w:rFonts w:ascii="Times New Roman" w:hAnsi="Times New Roman" w:cs="Times New Roman"/>
          <w:color w:val="000000"/>
        </w:rPr>
        <w:t xml:space="preserve">. </w:t>
      </w:r>
    </w:p>
    <w:p w:rsidR="00CD72DA" w:rsidRPr="00CD72DA" w:rsidRDefault="00CD72DA" w:rsidP="00CD72DA">
      <w:pPr>
        <w:spacing w:line="240" w:lineRule="auto"/>
        <w:rPr>
          <w:rFonts w:ascii="Times New Roman" w:hAnsi="Times New Roman" w:cs="Times New Roman"/>
          <w:color w:val="000000"/>
        </w:rPr>
      </w:pPr>
      <w:r>
        <w:rPr>
          <w:rFonts w:ascii="Times New Roman" w:hAnsi="Times New Roman" w:cs="Times New Roman"/>
          <w:color w:val="000000"/>
        </w:rPr>
        <w:t xml:space="preserve">Occupations of participants include: </w:t>
      </w:r>
      <w:r w:rsidRPr="00CD72DA">
        <w:rPr>
          <w:rFonts w:ascii="Times New Roman" w:hAnsi="Times New Roman" w:cs="Times New Roman"/>
          <w:color w:val="000000"/>
        </w:rPr>
        <w:t xml:space="preserve">Extension &amp; </w:t>
      </w:r>
      <w:r w:rsidR="00670B3F">
        <w:rPr>
          <w:rFonts w:ascii="Times New Roman" w:hAnsi="Times New Roman" w:cs="Times New Roman"/>
          <w:color w:val="000000"/>
        </w:rPr>
        <w:t>ag</w:t>
      </w:r>
      <w:r w:rsidRPr="00CD72DA">
        <w:rPr>
          <w:rFonts w:ascii="Times New Roman" w:hAnsi="Times New Roman" w:cs="Times New Roman"/>
          <w:color w:val="000000"/>
        </w:rPr>
        <w:t xml:space="preserve"> educators, Professors, Instructors, Soil conservationists, Conservation </w:t>
      </w:r>
      <w:r w:rsidR="00670B3F">
        <w:rPr>
          <w:rFonts w:ascii="Times New Roman" w:hAnsi="Times New Roman" w:cs="Times New Roman"/>
          <w:color w:val="000000"/>
        </w:rPr>
        <w:t>ag</w:t>
      </w:r>
      <w:r w:rsidRPr="00CD72DA">
        <w:rPr>
          <w:rFonts w:ascii="Times New Roman" w:hAnsi="Times New Roman" w:cs="Times New Roman"/>
          <w:color w:val="000000"/>
        </w:rPr>
        <w:t>ronomists &amp; planners, Consultants, Horticulture, Research, IPM &amp; Extension specialists, Scientists, District man</w:t>
      </w:r>
      <w:r w:rsidR="00670B3F">
        <w:rPr>
          <w:rFonts w:ascii="Times New Roman" w:hAnsi="Times New Roman" w:cs="Times New Roman"/>
          <w:color w:val="000000"/>
        </w:rPr>
        <w:t>ag</w:t>
      </w:r>
      <w:r w:rsidRPr="00CD72DA">
        <w:rPr>
          <w:rFonts w:ascii="Times New Roman" w:hAnsi="Times New Roman" w:cs="Times New Roman"/>
          <w:color w:val="000000"/>
        </w:rPr>
        <w:t xml:space="preserve">ers &amp; conservationists, Technical advisors, Program coordinators, Water stewardship &amp; Soil conservation technicians, Outreach coordinators, Program leaders, </w:t>
      </w:r>
      <w:r>
        <w:rPr>
          <w:rFonts w:ascii="Times New Roman" w:hAnsi="Times New Roman" w:cs="Times New Roman"/>
          <w:color w:val="000000"/>
        </w:rPr>
        <w:t xml:space="preserve">and </w:t>
      </w:r>
      <w:r w:rsidRPr="00CD72DA">
        <w:rPr>
          <w:rFonts w:ascii="Times New Roman" w:hAnsi="Times New Roman" w:cs="Times New Roman"/>
          <w:color w:val="000000"/>
        </w:rPr>
        <w:t>Environmental biologists &amp; engineers</w:t>
      </w:r>
      <w:r>
        <w:rPr>
          <w:rFonts w:ascii="Times New Roman" w:hAnsi="Times New Roman" w:cs="Times New Roman"/>
          <w:color w:val="000000"/>
        </w:rPr>
        <w:t>.</w:t>
      </w:r>
    </w:p>
    <w:p w:rsidR="00CD72DA" w:rsidRDefault="00CD72DA" w:rsidP="00CE2242">
      <w:pPr>
        <w:spacing w:line="240" w:lineRule="auto"/>
        <w:rPr>
          <w:rFonts w:ascii="Times New Roman" w:hAnsi="Times New Roman" w:cs="Times New Roman"/>
          <w:color w:val="000000"/>
        </w:rPr>
      </w:pPr>
      <w:r>
        <w:rPr>
          <w:rFonts w:ascii="Times New Roman" w:hAnsi="Times New Roman" w:cs="Times New Roman"/>
          <w:color w:val="000000"/>
        </w:rPr>
        <w:t xml:space="preserve">Their fields of professional expertise include: </w:t>
      </w:r>
      <w:r w:rsidRPr="00CD72DA">
        <w:rPr>
          <w:rFonts w:ascii="Times New Roman" w:hAnsi="Times New Roman" w:cs="Times New Roman"/>
          <w:color w:val="000000"/>
        </w:rPr>
        <w:t xml:space="preserve">Commercial </w:t>
      </w:r>
      <w:r w:rsidR="00670B3F">
        <w:rPr>
          <w:rFonts w:ascii="Times New Roman" w:hAnsi="Times New Roman" w:cs="Times New Roman"/>
          <w:color w:val="000000"/>
        </w:rPr>
        <w:t>ag</w:t>
      </w:r>
      <w:r w:rsidRPr="00CD72DA">
        <w:rPr>
          <w:rFonts w:ascii="Times New Roman" w:hAnsi="Times New Roman" w:cs="Times New Roman"/>
          <w:color w:val="000000"/>
        </w:rPr>
        <w:t>riculture &amp; horticulture, Animal husbandry, Pest man</w:t>
      </w:r>
      <w:r w:rsidR="00670B3F">
        <w:rPr>
          <w:rFonts w:ascii="Times New Roman" w:hAnsi="Times New Roman" w:cs="Times New Roman"/>
          <w:color w:val="000000"/>
        </w:rPr>
        <w:t>ag</w:t>
      </w:r>
      <w:r w:rsidRPr="00CD72DA">
        <w:rPr>
          <w:rFonts w:ascii="Times New Roman" w:hAnsi="Times New Roman" w:cs="Times New Roman"/>
          <w:color w:val="000000"/>
        </w:rPr>
        <w:t>ement, Farm business man</w:t>
      </w:r>
      <w:r w:rsidR="00670B3F">
        <w:rPr>
          <w:rFonts w:ascii="Times New Roman" w:hAnsi="Times New Roman" w:cs="Times New Roman"/>
          <w:color w:val="000000"/>
        </w:rPr>
        <w:t>ag</w:t>
      </w:r>
      <w:r w:rsidRPr="00CD72DA">
        <w:rPr>
          <w:rFonts w:ascii="Times New Roman" w:hAnsi="Times New Roman" w:cs="Times New Roman"/>
          <w:color w:val="000000"/>
        </w:rPr>
        <w:t xml:space="preserve">ement, Postharvest technology, Natural resources, Environmental compliance, Consumer horticulture, Conservation technology, Plant pathology, Sustainable </w:t>
      </w:r>
      <w:r w:rsidR="00670B3F">
        <w:rPr>
          <w:rFonts w:ascii="Times New Roman" w:hAnsi="Times New Roman" w:cs="Times New Roman"/>
          <w:color w:val="000000"/>
        </w:rPr>
        <w:t>ag</w:t>
      </w:r>
      <w:r w:rsidRPr="00CD72DA">
        <w:rPr>
          <w:rFonts w:ascii="Times New Roman" w:hAnsi="Times New Roman" w:cs="Times New Roman"/>
          <w:color w:val="000000"/>
        </w:rPr>
        <w:t xml:space="preserve">riculture, </w:t>
      </w:r>
      <w:r w:rsidR="00670B3F">
        <w:rPr>
          <w:rFonts w:ascii="Times New Roman" w:hAnsi="Times New Roman" w:cs="Times New Roman"/>
          <w:color w:val="000000"/>
        </w:rPr>
        <w:t>Ag</w:t>
      </w:r>
      <w:r w:rsidRPr="00CD72DA">
        <w:rPr>
          <w:rFonts w:ascii="Times New Roman" w:hAnsi="Times New Roman" w:cs="Times New Roman"/>
          <w:color w:val="000000"/>
        </w:rPr>
        <w:t>ronomy, Land protection, Pesticide education, Soil man</w:t>
      </w:r>
      <w:r w:rsidR="00670B3F">
        <w:rPr>
          <w:rFonts w:ascii="Times New Roman" w:hAnsi="Times New Roman" w:cs="Times New Roman"/>
          <w:color w:val="000000"/>
        </w:rPr>
        <w:t>ag</w:t>
      </w:r>
      <w:r w:rsidRPr="00CD72DA">
        <w:rPr>
          <w:rFonts w:ascii="Times New Roman" w:hAnsi="Times New Roman" w:cs="Times New Roman"/>
          <w:color w:val="000000"/>
        </w:rPr>
        <w:t>ement, Best man</w:t>
      </w:r>
      <w:r w:rsidR="00670B3F">
        <w:rPr>
          <w:rFonts w:ascii="Times New Roman" w:hAnsi="Times New Roman" w:cs="Times New Roman"/>
          <w:color w:val="000000"/>
        </w:rPr>
        <w:t>ag</w:t>
      </w:r>
      <w:r w:rsidRPr="00CD72DA">
        <w:rPr>
          <w:rFonts w:ascii="Times New Roman" w:hAnsi="Times New Roman" w:cs="Times New Roman"/>
          <w:color w:val="000000"/>
        </w:rPr>
        <w:t>ement practices</w:t>
      </w:r>
    </w:p>
    <w:p w:rsidR="00F87192" w:rsidRPr="00F87192" w:rsidRDefault="00F87192" w:rsidP="00CE2242">
      <w:pPr>
        <w:spacing w:line="240" w:lineRule="auto"/>
        <w:rPr>
          <w:rFonts w:ascii="Times New Roman" w:hAnsi="Times New Roman" w:cs="Times New Roman"/>
          <w:b/>
          <w:color w:val="000000"/>
        </w:rPr>
      </w:pPr>
      <w:r w:rsidRPr="00F87192">
        <w:rPr>
          <w:rFonts w:ascii="Times New Roman" w:hAnsi="Times New Roman" w:cs="Times New Roman"/>
          <w:b/>
          <w:color w:val="000000"/>
        </w:rPr>
        <w:t>Table 1: Berry Crop Soil and Nutrient Man</w:t>
      </w:r>
      <w:r w:rsidR="00670B3F">
        <w:rPr>
          <w:rFonts w:ascii="Times New Roman" w:hAnsi="Times New Roman" w:cs="Times New Roman"/>
          <w:b/>
          <w:color w:val="000000"/>
        </w:rPr>
        <w:t>ag</w:t>
      </w:r>
      <w:r w:rsidRPr="00F87192">
        <w:rPr>
          <w:rFonts w:ascii="Times New Roman" w:hAnsi="Times New Roman" w:cs="Times New Roman"/>
          <w:b/>
          <w:color w:val="000000"/>
        </w:rPr>
        <w:t xml:space="preserve">ement Webinar Participants by Location. </w:t>
      </w:r>
    </w:p>
    <w:p w:rsidR="00CD72DA" w:rsidRDefault="00CD72DA">
      <w:pPr>
        <w:spacing w:line="240" w:lineRule="auto"/>
        <w:rPr>
          <w:rFonts w:ascii="Times New Roman" w:hAnsi="Times New Roman" w:cs="Times New Roman"/>
          <w:color w:val="000000"/>
        </w:rPr>
      </w:pPr>
      <w:r>
        <w:rPr>
          <w:noProof/>
        </w:rPr>
        <w:drawing>
          <wp:inline distT="0" distB="0" distL="0" distR="0" wp14:anchorId="4F480700" wp14:editId="19415927">
            <wp:extent cx="4572000" cy="2421732"/>
            <wp:effectExtent l="0" t="0" r="19050" b="1714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CD72DA" w:rsidRPr="00CE2242" w:rsidRDefault="00CD72DA">
      <w:pPr>
        <w:spacing w:line="240" w:lineRule="auto"/>
        <w:rPr>
          <w:rFonts w:ascii="Times New Roman" w:hAnsi="Times New Roman" w:cs="Times New Roman"/>
          <w:color w:val="000000"/>
        </w:rPr>
      </w:pPr>
      <w:r>
        <w:rPr>
          <w:rFonts w:ascii="Times New Roman" w:hAnsi="Times New Roman" w:cs="Times New Roman"/>
          <w:color w:val="000000"/>
        </w:rPr>
        <w:t>Project success will be measured by documenting</w:t>
      </w:r>
      <w:r w:rsidRPr="00CD72DA">
        <w:t xml:space="preserve"> </w:t>
      </w:r>
      <w:r w:rsidRPr="00CD72DA">
        <w:rPr>
          <w:rFonts w:ascii="Times New Roman" w:hAnsi="Times New Roman" w:cs="Times New Roman"/>
          <w:color w:val="000000"/>
        </w:rPr>
        <w:t>educator and grower expertise in soil man</w:t>
      </w:r>
      <w:r w:rsidR="00670B3F">
        <w:rPr>
          <w:rFonts w:ascii="Times New Roman" w:hAnsi="Times New Roman" w:cs="Times New Roman"/>
          <w:color w:val="000000"/>
        </w:rPr>
        <w:t>ag</w:t>
      </w:r>
      <w:r w:rsidRPr="00CD72DA">
        <w:rPr>
          <w:rFonts w:ascii="Times New Roman" w:hAnsi="Times New Roman" w:cs="Times New Roman"/>
          <w:color w:val="000000"/>
        </w:rPr>
        <w:t xml:space="preserve">ement before and after participating in </w:t>
      </w:r>
      <w:r w:rsidR="00F87192">
        <w:rPr>
          <w:rFonts w:ascii="Times New Roman" w:hAnsi="Times New Roman" w:cs="Times New Roman"/>
          <w:color w:val="000000"/>
        </w:rPr>
        <w:t xml:space="preserve">the project to monitor changes. </w:t>
      </w:r>
      <w:r w:rsidRPr="00CD72DA">
        <w:rPr>
          <w:rFonts w:ascii="Times New Roman" w:hAnsi="Times New Roman" w:cs="Times New Roman"/>
          <w:color w:val="000000"/>
        </w:rPr>
        <w:t>Throughout the project and in subsequent years, we will monitor adoption and success of analysis-based berry crop nutrient and soil man</w:t>
      </w:r>
      <w:r w:rsidR="00670B3F">
        <w:rPr>
          <w:rFonts w:ascii="Times New Roman" w:hAnsi="Times New Roman" w:cs="Times New Roman"/>
          <w:color w:val="000000"/>
        </w:rPr>
        <w:t>ag</w:t>
      </w:r>
      <w:r w:rsidRPr="00CD72DA">
        <w:rPr>
          <w:rFonts w:ascii="Times New Roman" w:hAnsi="Times New Roman" w:cs="Times New Roman"/>
          <w:color w:val="000000"/>
        </w:rPr>
        <w:t>ement by commercial berry growers participating in the project.</w:t>
      </w:r>
    </w:p>
    <w:sectPr w:rsidR="00CD72DA" w:rsidRPr="00CE22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D824F6"/>
    <w:multiLevelType w:val="hybridMultilevel"/>
    <w:tmpl w:val="435A25E6"/>
    <w:lvl w:ilvl="0" w:tplc="4DC4EFF2">
      <w:start w:val="1"/>
      <w:numFmt w:val="bullet"/>
      <w:lvlText w:val=""/>
      <w:lvlJc w:val="left"/>
      <w:pPr>
        <w:tabs>
          <w:tab w:val="num" w:pos="720"/>
        </w:tabs>
        <w:ind w:left="720" w:hanging="360"/>
      </w:pPr>
      <w:rPr>
        <w:rFonts w:ascii="Wingdings 2" w:hAnsi="Wingdings 2" w:hint="default"/>
      </w:rPr>
    </w:lvl>
    <w:lvl w:ilvl="1" w:tplc="DFE29932" w:tentative="1">
      <w:start w:val="1"/>
      <w:numFmt w:val="bullet"/>
      <w:lvlText w:val=""/>
      <w:lvlJc w:val="left"/>
      <w:pPr>
        <w:tabs>
          <w:tab w:val="num" w:pos="1440"/>
        </w:tabs>
        <w:ind w:left="1440" w:hanging="360"/>
      </w:pPr>
      <w:rPr>
        <w:rFonts w:ascii="Wingdings 2" w:hAnsi="Wingdings 2" w:hint="default"/>
      </w:rPr>
    </w:lvl>
    <w:lvl w:ilvl="2" w:tplc="7F30DC2A" w:tentative="1">
      <w:start w:val="1"/>
      <w:numFmt w:val="bullet"/>
      <w:lvlText w:val=""/>
      <w:lvlJc w:val="left"/>
      <w:pPr>
        <w:tabs>
          <w:tab w:val="num" w:pos="2160"/>
        </w:tabs>
        <w:ind w:left="2160" w:hanging="360"/>
      </w:pPr>
      <w:rPr>
        <w:rFonts w:ascii="Wingdings 2" w:hAnsi="Wingdings 2" w:hint="default"/>
      </w:rPr>
    </w:lvl>
    <w:lvl w:ilvl="3" w:tplc="B6C41DBE" w:tentative="1">
      <w:start w:val="1"/>
      <w:numFmt w:val="bullet"/>
      <w:lvlText w:val=""/>
      <w:lvlJc w:val="left"/>
      <w:pPr>
        <w:tabs>
          <w:tab w:val="num" w:pos="2880"/>
        </w:tabs>
        <w:ind w:left="2880" w:hanging="360"/>
      </w:pPr>
      <w:rPr>
        <w:rFonts w:ascii="Wingdings 2" w:hAnsi="Wingdings 2" w:hint="default"/>
      </w:rPr>
    </w:lvl>
    <w:lvl w:ilvl="4" w:tplc="5FC465DA" w:tentative="1">
      <w:start w:val="1"/>
      <w:numFmt w:val="bullet"/>
      <w:lvlText w:val=""/>
      <w:lvlJc w:val="left"/>
      <w:pPr>
        <w:tabs>
          <w:tab w:val="num" w:pos="3600"/>
        </w:tabs>
        <w:ind w:left="3600" w:hanging="360"/>
      </w:pPr>
      <w:rPr>
        <w:rFonts w:ascii="Wingdings 2" w:hAnsi="Wingdings 2" w:hint="default"/>
      </w:rPr>
    </w:lvl>
    <w:lvl w:ilvl="5" w:tplc="E250C6A0" w:tentative="1">
      <w:start w:val="1"/>
      <w:numFmt w:val="bullet"/>
      <w:lvlText w:val=""/>
      <w:lvlJc w:val="left"/>
      <w:pPr>
        <w:tabs>
          <w:tab w:val="num" w:pos="4320"/>
        </w:tabs>
        <w:ind w:left="4320" w:hanging="360"/>
      </w:pPr>
      <w:rPr>
        <w:rFonts w:ascii="Wingdings 2" w:hAnsi="Wingdings 2" w:hint="default"/>
      </w:rPr>
    </w:lvl>
    <w:lvl w:ilvl="6" w:tplc="605052A0" w:tentative="1">
      <w:start w:val="1"/>
      <w:numFmt w:val="bullet"/>
      <w:lvlText w:val=""/>
      <w:lvlJc w:val="left"/>
      <w:pPr>
        <w:tabs>
          <w:tab w:val="num" w:pos="5040"/>
        </w:tabs>
        <w:ind w:left="5040" w:hanging="360"/>
      </w:pPr>
      <w:rPr>
        <w:rFonts w:ascii="Wingdings 2" w:hAnsi="Wingdings 2" w:hint="default"/>
      </w:rPr>
    </w:lvl>
    <w:lvl w:ilvl="7" w:tplc="596AC0F6" w:tentative="1">
      <w:start w:val="1"/>
      <w:numFmt w:val="bullet"/>
      <w:lvlText w:val=""/>
      <w:lvlJc w:val="left"/>
      <w:pPr>
        <w:tabs>
          <w:tab w:val="num" w:pos="5760"/>
        </w:tabs>
        <w:ind w:left="5760" w:hanging="360"/>
      </w:pPr>
      <w:rPr>
        <w:rFonts w:ascii="Wingdings 2" w:hAnsi="Wingdings 2" w:hint="default"/>
      </w:rPr>
    </w:lvl>
    <w:lvl w:ilvl="8" w:tplc="305C9632" w:tentative="1">
      <w:start w:val="1"/>
      <w:numFmt w:val="bullet"/>
      <w:lvlText w:val=""/>
      <w:lvlJc w:val="left"/>
      <w:pPr>
        <w:tabs>
          <w:tab w:val="num" w:pos="6480"/>
        </w:tabs>
        <w:ind w:left="6480" w:hanging="360"/>
      </w:pPr>
      <w:rPr>
        <w:rFonts w:ascii="Wingdings 2" w:hAnsi="Wingdings 2"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242"/>
    <w:rsid w:val="003F29D7"/>
    <w:rsid w:val="0049027E"/>
    <w:rsid w:val="004931D6"/>
    <w:rsid w:val="00670B3F"/>
    <w:rsid w:val="00924225"/>
    <w:rsid w:val="00CD72DA"/>
    <w:rsid w:val="00CE2242"/>
    <w:rsid w:val="00E12120"/>
    <w:rsid w:val="00F8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E224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D7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2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E224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D7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2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51068">
      <w:bodyDiv w:val="1"/>
      <w:marLeft w:val="0"/>
      <w:marRight w:val="0"/>
      <w:marTop w:val="0"/>
      <w:marBottom w:val="0"/>
      <w:divBdr>
        <w:top w:val="none" w:sz="0" w:space="0" w:color="auto"/>
        <w:left w:val="none" w:sz="0" w:space="0" w:color="auto"/>
        <w:bottom w:val="none" w:sz="0" w:space="0" w:color="auto"/>
        <w:right w:val="none" w:sz="0" w:space="0" w:color="auto"/>
      </w:divBdr>
      <w:divsChild>
        <w:div w:id="1442844920">
          <w:marLeft w:val="446"/>
          <w:marRight w:val="0"/>
          <w:marTop w:val="77"/>
          <w:marBottom w:val="0"/>
          <w:divBdr>
            <w:top w:val="none" w:sz="0" w:space="0" w:color="auto"/>
            <w:left w:val="none" w:sz="0" w:space="0" w:color="auto"/>
            <w:bottom w:val="none" w:sz="0" w:space="0" w:color="auto"/>
            <w:right w:val="none" w:sz="0" w:space="0" w:color="auto"/>
          </w:divBdr>
        </w:div>
        <w:div w:id="727340909">
          <w:marLeft w:val="446"/>
          <w:marRight w:val="0"/>
          <w:marTop w:val="77"/>
          <w:marBottom w:val="0"/>
          <w:divBdr>
            <w:top w:val="none" w:sz="0" w:space="0" w:color="auto"/>
            <w:left w:val="none" w:sz="0" w:space="0" w:color="auto"/>
            <w:bottom w:val="none" w:sz="0" w:space="0" w:color="auto"/>
            <w:right w:val="none" w:sz="0" w:space="0" w:color="auto"/>
          </w:divBdr>
        </w:div>
      </w:divsChild>
    </w:div>
    <w:div w:id="798180304">
      <w:bodyDiv w:val="1"/>
      <w:marLeft w:val="0"/>
      <w:marRight w:val="0"/>
      <w:marTop w:val="0"/>
      <w:marBottom w:val="0"/>
      <w:divBdr>
        <w:top w:val="none" w:sz="0" w:space="0" w:color="auto"/>
        <w:left w:val="none" w:sz="0" w:space="0" w:color="auto"/>
        <w:bottom w:val="none" w:sz="0" w:space="0" w:color="auto"/>
        <w:right w:val="none" w:sz="0" w:space="0" w:color="auto"/>
      </w:divBdr>
      <w:divsChild>
        <w:div w:id="1023438524">
          <w:marLeft w:val="547"/>
          <w:marRight w:val="0"/>
          <w:marTop w:val="106"/>
          <w:marBottom w:val="0"/>
          <w:divBdr>
            <w:top w:val="none" w:sz="0" w:space="0" w:color="auto"/>
            <w:left w:val="none" w:sz="0" w:space="0" w:color="auto"/>
            <w:bottom w:val="none" w:sz="0" w:space="0" w:color="auto"/>
            <w:right w:val="none" w:sz="0" w:space="0" w:color="auto"/>
          </w:divBdr>
        </w:div>
        <w:div w:id="655259106">
          <w:marLeft w:val="547"/>
          <w:marRight w:val="0"/>
          <w:marTop w:val="106"/>
          <w:marBottom w:val="0"/>
          <w:divBdr>
            <w:top w:val="none" w:sz="0" w:space="0" w:color="auto"/>
            <w:left w:val="none" w:sz="0" w:space="0" w:color="auto"/>
            <w:bottom w:val="none" w:sz="0" w:space="0" w:color="auto"/>
            <w:right w:val="none" w:sz="0" w:space="0" w:color="auto"/>
          </w:divBdr>
        </w:div>
        <w:div w:id="93940661">
          <w:marLeft w:val="547"/>
          <w:marRight w:val="0"/>
          <w:marTop w:val="106"/>
          <w:marBottom w:val="0"/>
          <w:divBdr>
            <w:top w:val="none" w:sz="0" w:space="0" w:color="auto"/>
            <w:left w:val="none" w:sz="0" w:space="0" w:color="auto"/>
            <w:bottom w:val="none" w:sz="0" w:space="0" w:color="auto"/>
            <w:right w:val="none" w:sz="0" w:space="0" w:color="auto"/>
          </w:divBdr>
        </w:div>
        <w:div w:id="529995596">
          <w:marLeft w:val="547"/>
          <w:marRight w:val="0"/>
          <w:marTop w:val="106"/>
          <w:marBottom w:val="0"/>
          <w:divBdr>
            <w:top w:val="none" w:sz="0" w:space="0" w:color="auto"/>
            <w:left w:val="none" w:sz="0" w:space="0" w:color="auto"/>
            <w:bottom w:val="none" w:sz="0" w:space="0" w:color="auto"/>
            <w:right w:val="none" w:sz="0" w:space="0" w:color="auto"/>
          </w:divBdr>
        </w:div>
        <w:div w:id="2053535025">
          <w:marLeft w:val="547"/>
          <w:marRight w:val="0"/>
          <w:marTop w:val="106"/>
          <w:marBottom w:val="0"/>
          <w:divBdr>
            <w:top w:val="none" w:sz="0" w:space="0" w:color="auto"/>
            <w:left w:val="none" w:sz="0" w:space="0" w:color="auto"/>
            <w:bottom w:val="none" w:sz="0" w:space="0" w:color="auto"/>
            <w:right w:val="none" w:sz="0" w:space="0" w:color="auto"/>
          </w:divBdr>
        </w:div>
        <w:div w:id="1051346830">
          <w:marLeft w:val="547"/>
          <w:marRight w:val="0"/>
          <w:marTop w:val="106"/>
          <w:marBottom w:val="0"/>
          <w:divBdr>
            <w:top w:val="none" w:sz="0" w:space="0" w:color="auto"/>
            <w:left w:val="none" w:sz="0" w:space="0" w:color="auto"/>
            <w:bottom w:val="none" w:sz="0" w:space="0" w:color="auto"/>
            <w:right w:val="none" w:sz="0" w:space="0" w:color="auto"/>
          </w:divBdr>
        </w:div>
      </w:divsChild>
    </w:div>
    <w:div w:id="83410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cm4\Desktop\NE%20SARE%20Webinar%20series%202011\NE%20SARE%20Ag%20ed%20participan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NE SARE Berry</a:t>
            </a:r>
            <a:r>
              <a:rPr lang="en-US" sz="1200" baseline="0"/>
              <a:t> Soil and Nutrient Man</a:t>
            </a:r>
            <a:r>
              <a:rPr lang="en-US" sz="1200" b="1" i="0" u="none" strike="noStrike" kern="1200" baseline="0">
                <a:solidFill>
                  <a:sysClr val="windowText" lastClr="000000"/>
                </a:solidFill>
                <a:latin typeface="+mn-lt"/>
                <a:ea typeface="+mn-ea"/>
                <a:cs typeface="+mn-cs"/>
              </a:rPr>
              <a:t>ag</a:t>
            </a:r>
            <a:r>
              <a:rPr lang="en-US" sz="1200" baseline="0"/>
              <a:t>ement Participants</a:t>
            </a:r>
            <a:endParaRPr lang="en-US" sz="1200"/>
          </a:p>
        </c:rich>
      </c:tx>
      <c:layout>
        <c:manualLayout>
          <c:xMode val="edge"/>
          <c:yMode val="edge"/>
          <c:x val="7.7430446194225719E-2"/>
          <c:y val="2.7221420296499126E-3"/>
        </c:manualLayout>
      </c:layout>
      <c:overlay val="0"/>
    </c:title>
    <c:autoTitleDeleted val="0"/>
    <c:plotArea>
      <c:layout/>
      <c:barChart>
        <c:barDir val="col"/>
        <c:grouping val="clustered"/>
        <c:varyColors val="0"/>
        <c:ser>
          <c:idx val="0"/>
          <c:order val="0"/>
          <c:tx>
            <c:strRef>
              <c:f>'Contact information'!$B$78</c:f>
              <c:strCache>
                <c:ptCount val="1"/>
                <c:pt idx="0">
                  <c:v>Participants</c:v>
                </c:pt>
              </c:strCache>
            </c:strRef>
          </c:tx>
          <c:invertIfNegative val="0"/>
          <c:cat>
            <c:strRef>
              <c:f>'Contact information'!$A$79:$A$91</c:f>
              <c:strCache>
                <c:ptCount val="13"/>
                <c:pt idx="0">
                  <c:v>PA</c:v>
                </c:pt>
                <c:pt idx="1">
                  <c:v>NY</c:v>
                </c:pt>
                <c:pt idx="2">
                  <c:v>VT</c:v>
                </c:pt>
                <c:pt idx="3">
                  <c:v>WY</c:v>
                </c:pt>
                <c:pt idx="4">
                  <c:v>CAN</c:v>
                </c:pt>
                <c:pt idx="5">
                  <c:v>MA</c:v>
                </c:pt>
                <c:pt idx="6">
                  <c:v>IL</c:v>
                </c:pt>
                <c:pt idx="7">
                  <c:v>WI</c:v>
                </c:pt>
                <c:pt idx="8">
                  <c:v>OH</c:v>
                </c:pt>
                <c:pt idx="9">
                  <c:v>NH</c:v>
                </c:pt>
                <c:pt idx="10">
                  <c:v>MI</c:v>
                </c:pt>
                <c:pt idx="11">
                  <c:v>ME</c:v>
                </c:pt>
                <c:pt idx="12">
                  <c:v>WV</c:v>
                </c:pt>
              </c:strCache>
            </c:strRef>
          </c:cat>
          <c:val>
            <c:numRef>
              <c:f>'Contact information'!$B$79:$B$91</c:f>
              <c:numCache>
                <c:formatCode>General</c:formatCode>
                <c:ptCount val="13"/>
                <c:pt idx="0">
                  <c:v>6</c:v>
                </c:pt>
                <c:pt idx="1">
                  <c:v>24</c:v>
                </c:pt>
                <c:pt idx="2">
                  <c:v>11</c:v>
                </c:pt>
                <c:pt idx="3">
                  <c:v>1</c:v>
                </c:pt>
                <c:pt idx="4">
                  <c:v>4</c:v>
                </c:pt>
                <c:pt idx="5">
                  <c:v>6</c:v>
                </c:pt>
                <c:pt idx="6">
                  <c:v>4</c:v>
                </c:pt>
                <c:pt idx="7">
                  <c:v>1</c:v>
                </c:pt>
                <c:pt idx="8">
                  <c:v>1</c:v>
                </c:pt>
                <c:pt idx="9">
                  <c:v>3</c:v>
                </c:pt>
                <c:pt idx="10">
                  <c:v>5</c:v>
                </c:pt>
                <c:pt idx="11">
                  <c:v>2</c:v>
                </c:pt>
                <c:pt idx="12">
                  <c:v>1</c:v>
                </c:pt>
              </c:numCache>
            </c:numRef>
          </c:val>
        </c:ser>
        <c:dLbls>
          <c:showLegendKey val="0"/>
          <c:showVal val="0"/>
          <c:showCatName val="0"/>
          <c:showSerName val="0"/>
          <c:showPercent val="0"/>
          <c:showBubbleSize val="0"/>
        </c:dLbls>
        <c:gapWidth val="150"/>
        <c:axId val="102714752"/>
        <c:axId val="116475008"/>
      </c:barChart>
      <c:catAx>
        <c:axId val="102714752"/>
        <c:scaling>
          <c:orientation val="minMax"/>
        </c:scaling>
        <c:delete val="0"/>
        <c:axPos val="b"/>
        <c:majorTickMark val="out"/>
        <c:minorTickMark val="none"/>
        <c:tickLblPos val="nextTo"/>
        <c:crossAx val="116475008"/>
        <c:crosses val="autoZero"/>
        <c:auto val="1"/>
        <c:lblAlgn val="ctr"/>
        <c:lblOffset val="100"/>
        <c:noMultiLvlLbl val="0"/>
      </c:catAx>
      <c:valAx>
        <c:axId val="116475008"/>
        <c:scaling>
          <c:orientation val="minMax"/>
        </c:scaling>
        <c:delete val="0"/>
        <c:axPos val="l"/>
        <c:majorGridlines/>
        <c:numFmt formatCode="General" sourceLinked="1"/>
        <c:majorTickMark val="out"/>
        <c:minorTickMark val="none"/>
        <c:tickLblPos val="nextTo"/>
        <c:crossAx val="10271475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844</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Cornell University</Company>
  <LinksUpToDate>false</LinksUpToDate>
  <CharactersWithSpaces>5644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Catherine  Heidenreich</dc:creator>
  <cp:lastModifiedBy>Mary Catherine  Heidenreich</cp:lastModifiedBy>
  <cp:revision>6</cp:revision>
  <dcterms:created xsi:type="dcterms:W3CDTF">2011-10-18T20:02:00Z</dcterms:created>
  <dcterms:modified xsi:type="dcterms:W3CDTF">2011-12-21T19:44:00Z</dcterms:modified>
</cp:coreProperties>
</file>