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3A" w:rsidRPr="0019141A" w:rsidRDefault="0005393A" w:rsidP="0005393A">
      <w:pPr>
        <w:pStyle w:val="BodyText"/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5853318" cy="4387977"/>
            <wp:effectExtent l="171450" t="133350" r="356982" b="298323"/>
            <wp:docPr id="1" name="Picture 0" descr="Description: twilight field da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twilight field day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318" cy="4387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393A" w:rsidRPr="0019141A" w:rsidRDefault="0005393A" w:rsidP="0005393A">
      <w:pPr>
        <w:pStyle w:val="BodyText"/>
        <w:spacing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Figure 1</w:t>
      </w:r>
      <w:r w:rsidRPr="0019141A">
        <w:rPr>
          <w:rFonts w:ascii="Calibri" w:hAnsi="Calibri" w:cs="Calibri"/>
          <w:color w:val="000000"/>
        </w:rPr>
        <w:t>: Conventional and Organic Growers collect at the main tent after a demonstration at the Twilight Organic Field Day (Aug. 4, 2011).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5393A"/>
    <w:rsid w:val="0005393A"/>
    <w:rsid w:val="001B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393A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39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Grizli777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2011-12-30T20:28:00Z</dcterms:created>
  <dcterms:modified xsi:type="dcterms:W3CDTF">2011-12-30T20:28:00Z</dcterms:modified>
</cp:coreProperties>
</file>