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Override PartName="/word/charts/chart1.xml" ContentType="application/vnd.openxmlformats-officedocument.drawingml.chart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A2E" w:rsidRPr="004876F8" w:rsidRDefault="00D10A2E" w:rsidP="00D10A2E">
      <w:pPr>
        <w:jc w:val="center"/>
        <w:rPr>
          <w:rFonts w:cs="Helvetica"/>
          <w:b/>
          <w:color w:val="000000"/>
          <w:sz w:val="28"/>
          <w:szCs w:val="20"/>
          <w:u w:val="single"/>
        </w:rPr>
      </w:pPr>
      <w:r w:rsidRPr="004876F8">
        <w:rPr>
          <w:rFonts w:cs="Helvetica"/>
          <w:b/>
          <w:color w:val="000000"/>
          <w:sz w:val="28"/>
          <w:szCs w:val="20"/>
          <w:u w:val="single"/>
        </w:rPr>
        <w:t xml:space="preserve">Developing </w:t>
      </w:r>
      <w:proofErr w:type="spellStart"/>
      <w:r w:rsidRPr="004876F8">
        <w:rPr>
          <w:rFonts w:cs="Helvetica"/>
          <w:b/>
          <w:color w:val="000000"/>
          <w:sz w:val="28"/>
          <w:szCs w:val="20"/>
          <w:u w:val="single"/>
        </w:rPr>
        <w:t>Inoculum</w:t>
      </w:r>
      <w:proofErr w:type="spellEnd"/>
      <w:r w:rsidRPr="004876F8">
        <w:rPr>
          <w:rFonts w:cs="Helvetica"/>
          <w:b/>
          <w:color w:val="000000"/>
          <w:sz w:val="28"/>
          <w:szCs w:val="20"/>
          <w:u w:val="single"/>
        </w:rPr>
        <w:t xml:space="preserve"> to Increase Anaerobic Digestion Efficiency in Winter Months.</w:t>
      </w:r>
    </w:p>
    <w:p w:rsidR="00D10A2E" w:rsidRPr="004876F8" w:rsidRDefault="00D10A2E" w:rsidP="00D10A2E">
      <w:pPr>
        <w:jc w:val="center"/>
        <w:rPr>
          <w:rFonts w:cs="Helvetica"/>
          <w:b/>
          <w:color w:val="000000"/>
          <w:sz w:val="28"/>
          <w:szCs w:val="20"/>
          <w:u w:val="single"/>
        </w:rPr>
      </w:pPr>
      <w:r w:rsidRPr="004876F8">
        <w:rPr>
          <w:rFonts w:cs="Helvetica"/>
          <w:b/>
          <w:color w:val="000000"/>
          <w:sz w:val="28"/>
          <w:szCs w:val="20"/>
          <w:u w:val="single"/>
        </w:rPr>
        <w:t>NESARE Project (GNE11-030) Annual Report 2011</w:t>
      </w:r>
    </w:p>
    <w:p w:rsidR="00D10A2E" w:rsidRPr="004876F8" w:rsidRDefault="00D10A2E" w:rsidP="00D10A2E">
      <w:pPr>
        <w:jc w:val="center"/>
        <w:rPr>
          <w:rFonts w:cs="Helvetica"/>
          <w:b/>
          <w:color w:val="000000"/>
          <w:sz w:val="28"/>
          <w:szCs w:val="20"/>
          <w:u w:val="single"/>
        </w:rPr>
      </w:pPr>
      <w:r w:rsidRPr="004876F8">
        <w:rPr>
          <w:rFonts w:cs="Helvetica"/>
          <w:b/>
          <w:color w:val="000000"/>
          <w:sz w:val="28"/>
          <w:szCs w:val="20"/>
          <w:u w:val="single"/>
        </w:rPr>
        <w:t>Appendix</w:t>
      </w:r>
      <w:r>
        <w:rPr>
          <w:rFonts w:cs="Helvetica"/>
          <w:b/>
          <w:color w:val="000000"/>
          <w:sz w:val="28"/>
          <w:szCs w:val="20"/>
          <w:u w:val="single"/>
        </w:rPr>
        <w:t xml:space="preserve"> A</w:t>
      </w:r>
    </w:p>
    <w:p w:rsidR="00D10A2E" w:rsidRPr="004876F8" w:rsidRDefault="00D10A2E" w:rsidP="00D10A2E">
      <w:pPr>
        <w:jc w:val="center"/>
        <w:rPr>
          <w:rFonts w:cs="Helvetica"/>
          <w:color w:val="000000"/>
          <w:sz w:val="28"/>
          <w:szCs w:val="20"/>
          <w:u w:val="single"/>
        </w:rPr>
      </w:pPr>
    </w:p>
    <w:p w:rsidR="00D10A2E" w:rsidRPr="004876F8" w:rsidRDefault="00D10A2E" w:rsidP="00D10A2E"/>
    <w:p w:rsidR="00D10A2E" w:rsidRPr="004876F8" w:rsidRDefault="00D10A2E" w:rsidP="00D10A2E">
      <w:pPr>
        <w:jc w:val="center"/>
        <w:rPr>
          <w:rFonts w:cs="Helvetica"/>
          <w:color w:val="000000"/>
          <w:sz w:val="22"/>
          <w:szCs w:val="20"/>
        </w:rPr>
      </w:pPr>
      <w:r w:rsidRPr="004876F8">
        <w:rPr>
          <w:sz w:val="22"/>
        </w:rPr>
        <w:t>Table 1: Revised timeline fo</w:t>
      </w:r>
      <w:r>
        <w:rPr>
          <w:sz w:val="22"/>
        </w:rPr>
        <w:t xml:space="preserve">r </w:t>
      </w:r>
      <w:r w:rsidRPr="004876F8">
        <w:rPr>
          <w:rFonts w:cs="Helvetica"/>
          <w:i/>
          <w:color w:val="000000"/>
          <w:sz w:val="22"/>
          <w:szCs w:val="20"/>
        </w:rPr>
        <w:t xml:space="preserve">Developing </w:t>
      </w:r>
      <w:proofErr w:type="spellStart"/>
      <w:r w:rsidRPr="004876F8">
        <w:rPr>
          <w:rFonts w:cs="Helvetica"/>
          <w:i/>
          <w:color w:val="000000"/>
          <w:sz w:val="22"/>
          <w:szCs w:val="20"/>
        </w:rPr>
        <w:t>Inoculum</w:t>
      </w:r>
      <w:proofErr w:type="spellEnd"/>
      <w:r w:rsidRPr="004876F8">
        <w:rPr>
          <w:rFonts w:cs="Helvetica"/>
          <w:i/>
          <w:color w:val="000000"/>
          <w:sz w:val="22"/>
          <w:szCs w:val="20"/>
        </w:rPr>
        <w:t xml:space="preserve"> to Increase Anaerobic Digestion Efficiency in Winter Months</w:t>
      </w:r>
      <w:r w:rsidRPr="004876F8">
        <w:rPr>
          <w:rFonts w:cs="Helvetica"/>
          <w:color w:val="000000"/>
          <w:sz w:val="22"/>
          <w:szCs w:val="20"/>
        </w:rPr>
        <w:t>, NESARE Project (GNE11-030)</w:t>
      </w:r>
      <w:r>
        <w:rPr>
          <w:rFonts w:cs="Helvetica"/>
          <w:color w:val="000000"/>
          <w:sz w:val="22"/>
          <w:szCs w:val="20"/>
        </w:rPr>
        <w:t>. Start Date: 8/1/2011-5/31/2013</w:t>
      </w:r>
    </w:p>
    <w:tbl>
      <w:tblPr>
        <w:tblW w:w="8753" w:type="dxa"/>
        <w:tblInd w:w="103" w:type="dxa"/>
        <w:tblLook w:val="0000"/>
      </w:tblPr>
      <w:tblGrid>
        <w:gridCol w:w="4656"/>
        <w:gridCol w:w="1390"/>
        <w:gridCol w:w="1390"/>
        <w:gridCol w:w="1317"/>
      </w:tblGrid>
      <w:tr w:rsidR="00D10A2E" w:rsidRPr="00CD5849"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1FB714"/>
            <w:vAlign w:val="center"/>
          </w:tcPr>
          <w:p w:rsidR="00D10A2E" w:rsidRPr="00CD5849" w:rsidRDefault="00D10A2E" w:rsidP="002A613C">
            <w:pPr>
              <w:spacing w:before="2" w:after="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Activities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1FB714"/>
            <w:noWrap/>
            <w:vAlign w:val="bottom"/>
          </w:tcPr>
          <w:p w:rsidR="00D10A2E" w:rsidRPr="00CD5849" w:rsidRDefault="00D10A2E" w:rsidP="00805C8F">
            <w:pPr>
              <w:spacing w:before="2" w:after="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Start Date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1FB714"/>
            <w:noWrap/>
            <w:vAlign w:val="bottom"/>
          </w:tcPr>
          <w:p w:rsidR="00D10A2E" w:rsidRPr="00CD5849" w:rsidRDefault="00D10A2E" w:rsidP="00805C8F">
            <w:pPr>
              <w:spacing w:before="2" w:after="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End Date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1FB714"/>
          </w:tcPr>
          <w:p w:rsidR="00D10A2E" w:rsidRPr="00CD5849" w:rsidRDefault="00D10A2E" w:rsidP="00805C8F">
            <w:pPr>
              <w:spacing w:before="2" w:after="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w:rsidR="00D10A2E" w:rsidRPr="00CD5849"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Search for local sources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inocula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obtain legal permission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10/24/2011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12/8/2011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Completed</w:t>
            </w: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Collect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inocula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conduct and modify SMA tests</w:t>
            </w:r>
            <w:r w:rsidRPr="00CD584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12/8/2011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1/22/2012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 Progress</w:t>
            </w: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Collect new sets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inocula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1/22/2012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2/5/2012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Conduct biochemical methane potential tests (BMP) to determine the best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inoculum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2/6/2012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6/6/2012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Collect new sets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inocula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6/7/2012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6/21/2012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Pr="00CD5849" w:rsidRDefault="00D10A2E" w:rsidP="00D46490">
            <w:pPr>
              <w:spacing w:before="2" w:after="2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Start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inoculum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incubation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6/21/2012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12/21/2012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Conduct first BMP to determine optimal incubation period and substrate to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inoculum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ratio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6/21/2012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10/21/2012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Conduct second BMP to determine optimal incubation period and substrate to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inoculum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ratio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9/21/2012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1/21/2012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Conduct third BMP to determine optimal incubation period and substrate to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inoculum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ratio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12/21/2012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4/21/2013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Field tour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9/1/2012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9/1/2012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American Ecological Engineering Society and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Agstar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National Conference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5/2013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Publication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5/31/2013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5/31/2013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10A2E" w:rsidRDefault="00D10A2E" w:rsidP="00D10A2E"/>
    <w:p w:rsidR="00D10A2E" w:rsidRDefault="00D10A2E" w:rsidP="00D10A2E"/>
    <w:p w:rsidR="00D10A2E" w:rsidRDefault="00D10A2E" w:rsidP="00D10A2E"/>
    <w:p w:rsidR="00D10A2E" w:rsidRDefault="00D10A2E" w:rsidP="00D10A2E"/>
    <w:p w:rsidR="00D10A2E" w:rsidRDefault="00D10A2E" w:rsidP="00D10A2E"/>
    <w:p w:rsidR="00D10A2E" w:rsidRDefault="00D10A2E" w:rsidP="00D10A2E"/>
    <w:p w:rsidR="00D10A2E" w:rsidRDefault="00D10A2E" w:rsidP="00D10A2E"/>
    <w:p w:rsidR="00D10A2E" w:rsidRDefault="00D10A2E" w:rsidP="00D10A2E"/>
    <w:p w:rsidR="00D10A2E" w:rsidRDefault="00D10A2E" w:rsidP="00D10A2E"/>
    <w:p w:rsidR="00D10A2E" w:rsidRDefault="00D10A2E" w:rsidP="00D10A2E"/>
    <w:p w:rsidR="00D10A2E" w:rsidRDefault="00D10A2E" w:rsidP="00D10A2E"/>
    <w:p w:rsidR="00D10A2E" w:rsidRDefault="00D10A2E" w:rsidP="00D10A2E"/>
    <w:p w:rsidR="00D10A2E" w:rsidRDefault="00D10A2E" w:rsidP="00D10A2E"/>
    <w:p w:rsidR="00D10A2E" w:rsidRDefault="00D10A2E" w:rsidP="00D10A2E"/>
    <w:p w:rsidR="00D10A2E" w:rsidRDefault="00D10A2E" w:rsidP="00D10A2E">
      <w:r>
        <w:t>Figure 1: Preliminary data of cumulative methane production from the anaerobic digestion of dairy manure at 3</w:t>
      </w:r>
      <w:r>
        <w:rPr>
          <w:rFonts w:ascii="Cambria" w:hAnsi="Cambria"/>
        </w:rPr>
        <w:t>°</w:t>
      </w:r>
      <w:r>
        <w:t>C (blue line), 14</w:t>
      </w:r>
      <w:r>
        <w:rPr>
          <w:rFonts w:ascii="Cambria" w:hAnsi="Cambria"/>
        </w:rPr>
        <w:t>°</w:t>
      </w:r>
      <w:r>
        <w:t>C (red line), and 24</w:t>
      </w:r>
      <w:r>
        <w:rPr>
          <w:rFonts w:ascii="Cambria" w:hAnsi="Cambria"/>
        </w:rPr>
        <w:t>°</w:t>
      </w:r>
      <w:r>
        <w:t xml:space="preserve">C (green line) conducted from 3/20/2011-8/18/2011 to inform the current NESARE funded project. </w:t>
      </w:r>
    </w:p>
    <w:p w:rsidR="00D10A2E" w:rsidRDefault="00D10A2E" w:rsidP="00D10A2E">
      <w:r w:rsidRPr="001069F0">
        <w:rPr>
          <w:noProof/>
        </w:rPr>
        <w:drawing>
          <wp:inline distT="0" distB="0" distL="0" distR="0">
            <wp:extent cx="5486400" cy="3338195"/>
            <wp:effectExtent l="25400" t="25400" r="0" b="0"/>
            <wp:docPr id="5" name="C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D10A2E" w:rsidRDefault="00D10A2E" w:rsidP="00D10A2E"/>
    <w:p w:rsidR="00153219" w:rsidRDefault="00D10A2E"/>
    <w:sectPr w:rsidR="00153219" w:rsidSect="0015321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10A2E"/>
    <w:rsid w:val="00D10A2E"/>
  </w:rsids>
  <m:mathPr>
    <m:mathFont m:val="Microsoft Sans Serif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2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chart" Target="charts/chart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Macintosh%20HD:Users:freddywitarsa:Downloads:Freddy%201st%20BMP%20GC%20Data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style val="2"/>
  <c:chart>
    <c:title>
      <c:tx>
        <c:rich>
          <a:bodyPr/>
          <a:lstStyle/>
          <a:p>
            <a:pPr>
              <a:defRPr/>
            </a:pPr>
            <a:r>
              <a:rPr lang="en-US"/>
              <a:t>Lab-Scale Anaerobic Digestion of Dairy Manure</a:t>
            </a:r>
          </a:p>
        </c:rich>
      </c:tx>
      <c:layout/>
    </c:title>
    <c:plotArea>
      <c:layout/>
      <c:scatterChart>
        <c:scatterStyle val="smoothMarker"/>
        <c:ser>
          <c:idx val="0"/>
          <c:order val="0"/>
          <c:tx>
            <c:v>3oC</c:v>
          </c:tx>
          <c:spPr>
            <a:ln w="12700"/>
          </c:spPr>
          <c:marker>
            <c:symbol val="diamond"/>
            <c:size val="2"/>
          </c:marker>
          <c:xVal>
            <c:numRef>
              <c:f>'Cumulative Methane (mLgVS)'!$F$2:$F$33</c:f>
              <c:numCache>
                <c:formatCode>General</c:formatCode>
                <c:ptCount val="32"/>
                <c:pt idx="0">
                  <c:v>4.0</c:v>
                </c:pt>
                <c:pt idx="1">
                  <c:v>8.0</c:v>
                </c:pt>
                <c:pt idx="2">
                  <c:v>12.0</c:v>
                </c:pt>
                <c:pt idx="3">
                  <c:v>16.0</c:v>
                </c:pt>
                <c:pt idx="4">
                  <c:v>20.0</c:v>
                </c:pt>
                <c:pt idx="5">
                  <c:v>23.0</c:v>
                </c:pt>
                <c:pt idx="6">
                  <c:v>27.0</c:v>
                </c:pt>
                <c:pt idx="7">
                  <c:v>30.0</c:v>
                </c:pt>
                <c:pt idx="8">
                  <c:v>34.0</c:v>
                </c:pt>
                <c:pt idx="9">
                  <c:v>37.0</c:v>
                </c:pt>
                <c:pt idx="10">
                  <c:v>41.0</c:v>
                </c:pt>
                <c:pt idx="11">
                  <c:v>44.0</c:v>
                </c:pt>
                <c:pt idx="12">
                  <c:v>48.0</c:v>
                </c:pt>
                <c:pt idx="13">
                  <c:v>51.0</c:v>
                </c:pt>
                <c:pt idx="14">
                  <c:v>55.0</c:v>
                </c:pt>
                <c:pt idx="15">
                  <c:v>58.0</c:v>
                </c:pt>
                <c:pt idx="16">
                  <c:v>62.0</c:v>
                </c:pt>
                <c:pt idx="17">
                  <c:v>69.0</c:v>
                </c:pt>
                <c:pt idx="18">
                  <c:v>76.0</c:v>
                </c:pt>
                <c:pt idx="19">
                  <c:v>83.0</c:v>
                </c:pt>
                <c:pt idx="20">
                  <c:v>90.0</c:v>
                </c:pt>
                <c:pt idx="21">
                  <c:v>97.0</c:v>
                </c:pt>
                <c:pt idx="22">
                  <c:v>103.0</c:v>
                </c:pt>
                <c:pt idx="23">
                  <c:v>110.0</c:v>
                </c:pt>
                <c:pt idx="24">
                  <c:v>117.0</c:v>
                </c:pt>
                <c:pt idx="25">
                  <c:v>124.0</c:v>
                </c:pt>
                <c:pt idx="26">
                  <c:v>131.0</c:v>
                </c:pt>
                <c:pt idx="27">
                  <c:v>138.0</c:v>
                </c:pt>
                <c:pt idx="28">
                  <c:v>145.0</c:v>
                </c:pt>
                <c:pt idx="29">
                  <c:v>152.0</c:v>
                </c:pt>
                <c:pt idx="30">
                  <c:v>159.0</c:v>
                </c:pt>
                <c:pt idx="31">
                  <c:v>166.0</c:v>
                </c:pt>
              </c:numCache>
            </c:numRef>
          </c:xVal>
          <c:yVal>
            <c:numRef>
              <c:f>'Cumulative Methane (mLgVS)'!$J$2:$J$33</c:f>
              <c:numCache>
                <c:formatCode>General</c:formatCode>
                <c:ptCount val="32"/>
                <c:pt idx="0">
                  <c:v>0.0</c:v>
                </c:pt>
                <c:pt idx="1">
                  <c:v>0.00727361421207997</c:v>
                </c:pt>
                <c:pt idx="2">
                  <c:v>0.0260664492291518</c:v>
                </c:pt>
                <c:pt idx="3">
                  <c:v>0.0761351557288008</c:v>
                </c:pt>
                <c:pt idx="4">
                  <c:v>0.0761351557288008</c:v>
                </c:pt>
                <c:pt idx="5">
                  <c:v>0.458686053190471</c:v>
                </c:pt>
                <c:pt idx="6">
                  <c:v>0.458686053190471</c:v>
                </c:pt>
                <c:pt idx="7">
                  <c:v>0.458686053190471</c:v>
                </c:pt>
                <c:pt idx="8">
                  <c:v>0.458686053190471</c:v>
                </c:pt>
                <c:pt idx="9">
                  <c:v>0.574398090012007</c:v>
                </c:pt>
                <c:pt idx="10">
                  <c:v>0.620380040845807</c:v>
                </c:pt>
                <c:pt idx="11">
                  <c:v>0.700905588187514</c:v>
                </c:pt>
                <c:pt idx="12">
                  <c:v>0.776376796915349</c:v>
                </c:pt>
                <c:pt idx="13">
                  <c:v>0.840504307990108</c:v>
                </c:pt>
                <c:pt idx="14">
                  <c:v>0.892807884856047</c:v>
                </c:pt>
                <c:pt idx="15">
                  <c:v>1.039384812114227</c:v>
                </c:pt>
                <c:pt idx="16">
                  <c:v>1.052996985129834</c:v>
                </c:pt>
                <c:pt idx="17">
                  <c:v>1.211347192439181</c:v>
                </c:pt>
                <c:pt idx="18">
                  <c:v>1.232001758295262</c:v>
                </c:pt>
                <c:pt idx="19">
                  <c:v>1.301752103351057</c:v>
                </c:pt>
                <c:pt idx="20">
                  <c:v>1.363376103829999</c:v>
                </c:pt>
                <c:pt idx="21">
                  <c:v>1.514680417133098</c:v>
                </c:pt>
                <c:pt idx="22">
                  <c:v>1.531648321521428</c:v>
                </c:pt>
                <c:pt idx="23">
                  <c:v>1.567817360489714</c:v>
                </c:pt>
                <c:pt idx="24">
                  <c:v>1.586471300751722</c:v>
                </c:pt>
                <c:pt idx="25">
                  <c:v>1.624813158789003</c:v>
                </c:pt>
                <c:pt idx="26">
                  <c:v>1.624813158789003</c:v>
                </c:pt>
                <c:pt idx="27">
                  <c:v>1.624813158789003</c:v>
                </c:pt>
                <c:pt idx="28">
                  <c:v>1.624813158789003</c:v>
                </c:pt>
                <c:pt idx="29">
                  <c:v>1.624813158789003</c:v>
                </c:pt>
                <c:pt idx="30">
                  <c:v>1.624813158789003</c:v>
                </c:pt>
                <c:pt idx="31">
                  <c:v>1.624813158789003</c:v>
                </c:pt>
              </c:numCache>
            </c:numRef>
          </c:yVal>
          <c:smooth val="1"/>
        </c:ser>
        <c:ser>
          <c:idx val="1"/>
          <c:order val="1"/>
          <c:tx>
            <c:v>14oC</c:v>
          </c:tx>
          <c:spPr>
            <a:ln w="12700"/>
          </c:spPr>
          <c:marker>
            <c:symbol val="square"/>
            <c:size val="2"/>
          </c:marker>
          <c:xVal>
            <c:numRef>
              <c:f>'Cumulative Methane (mLgVS)'!$F$34:$F$78</c:f>
              <c:numCache>
                <c:formatCode>General</c:formatCode>
                <c:ptCount val="45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11.0</c:v>
                </c:pt>
                <c:pt idx="10">
                  <c:v>12.0</c:v>
                </c:pt>
                <c:pt idx="11">
                  <c:v>13.0</c:v>
                </c:pt>
                <c:pt idx="12">
                  <c:v>14.0</c:v>
                </c:pt>
                <c:pt idx="13">
                  <c:v>16.0</c:v>
                </c:pt>
                <c:pt idx="14">
                  <c:v>18.0</c:v>
                </c:pt>
                <c:pt idx="15">
                  <c:v>20.0</c:v>
                </c:pt>
                <c:pt idx="16">
                  <c:v>23.0</c:v>
                </c:pt>
                <c:pt idx="17">
                  <c:v>25.0</c:v>
                </c:pt>
                <c:pt idx="18">
                  <c:v>27.0</c:v>
                </c:pt>
                <c:pt idx="19">
                  <c:v>30.0</c:v>
                </c:pt>
                <c:pt idx="20">
                  <c:v>32.0</c:v>
                </c:pt>
                <c:pt idx="21">
                  <c:v>34.0</c:v>
                </c:pt>
                <c:pt idx="22">
                  <c:v>37.0</c:v>
                </c:pt>
                <c:pt idx="23">
                  <c:v>41.0</c:v>
                </c:pt>
                <c:pt idx="24">
                  <c:v>44.0</c:v>
                </c:pt>
                <c:pt idx="25">
                  <c:v>48.0</c:v>
                </c:pt>
                <c:pt idx="26">
                  <c:v>51.0</c:v>
                </c:pt>
                <c:pt idx="27">
                  <c:v>55.0</c:v>
                </c:pt>
                <c:pt idx="28">
                  <c:v>58.0</c:v>
                </c:pt>
                <c:pt idx="29">
                  <c:v>62.0</c:v>
                </c:pt>
                <c:pt idx="30">
                  <c:v>69.0</c:v>
                </c:pt>
                <c:pt idx="31">
                  <c:v>76.0</c:v>
                </c:pt>
                <c:pt idx="32">
                  <c:v>83.0</c:v>
                </c:pt>
                <c:pt idx="33">
                  <c:v>90.0</c:v>
                </c:pt>
                <c:pt idx="34">
                  <c:v>97.0</c:v>
                </c:pt>
                <c:pt idx="35">
                  <c:v>103.0</c:v>
                </c:pt>
                <c:pt idx="36">
                  <c:v>110.0</c:v>
                </c:pt>
                <c:pt idx="37">
                  <c:v>117.0</c:v>
                </c:pt>
                <c:pt idx="38">
                  <c:v>124.0</c:v>
                </c:pt>
                <c:pt idx="39">
                  <c:v>131.0</c:v>
                </c:pt>
                <c:pt idx="40">
                  <c:v>138.0</c:v>
                </c:pt>
                <c:pt idx="41">
                  <c:v>145.0</c:v>
                </c:pt>
                <c:pt idx="42">
                  <c:v>152.0</c:v>
                </c:pt>
                <c:pt idx="43">
                  <c:v>159.0</c:v>
                </c:pt>
                <c:pt idx="44">
                  <c:v>166.0</c:v>
                </c:pt>
              </c:numCache>
            </c:numRef>
          </c:xVal>
          <c:yVal>
            <c:numRef>
              <c:f>'Cumulative Methane (mLgVS)'!$J$34:$J$78</c:f>
              <c:numCache>
                <c:formatCode>General</c:formatCode>
                <c:ptCount val="45"/>
                <c:pt idx="0">
                  <c:v>0.0957837011207111</c:v>
                </c:pt>
                <c:pt idx="1">
                  <c:v>0.616406193466199</c:v>
                </c:pt>
                <c:pt idx="2">
                  <c:v>1.222188603198898</c:v>
                </c:pt>
                <c:pt idx="3">
                  <c:v>2.038394431360126</c:v>
                </c:pt>
                <c:pt idx="4">
                  <c:v>2.890905025004084</c:v>
                </c:pt>
                <c:pt idx="5">
                  <c:v>3.643982953123218</c:v>
                </c:pt>
                <c:pt idx="6">
                  <c:v>4.554375894892666</c:v>
                </c:pt>
                <c:pt idx="7">
                  <c:v>5.590274912590041</c:v>
                </c:pt>
                <c:pt idx="8">
                  <c:v>6.600299656585919</c:v>
                </c:pt>
                <c:pt idx="9">
                  <c:v>7.954783223379274</c:v>
                </c:pt>
                <c:pt idx="10">
                  <c:v>9.131167413961943</c:v>
                </c:pt>
                <c:pt idx="11">
                  <c:v>10.29254534110005</c:v>
                </c:pt>
                <c:pt idx="12">
                  <c:v>11.4262880281239</c:v>
                </c:pt>
                <c:pt idx="13">
                  <c:v>13.27318194354832</c:v>
                </c:pt>
                <c:pt idx="14">
                  <c:v>15.04184841377447</c:v>
                </c:pt>
                <c:pt idx="15">
                  <c:v>17.21526424164615</c:v>
                </c:pt>
                <c:pt idx="16">
                  <c:v>19.9828194466176</c:v>
                </c:pt>
                <c:pt idx="17">
                  <c:v>22.30605060254263</c:v>
                </c:pt>
                <c:pt idx="18">
                  <c:v>23.75638894039604</c:v>
                </c:pt>
                <c:pt idx="19">
                  <c:v>26.29841679570468</c:v>
                </c:pt>
                <c:pt idx="20">
                  <c:v>28.15250452368527</c:v>
                </c:pt>
                <c:pt idx="21">
                  <c:v>28.90268903083583</c:v>
                </c:pt>
                <c:pt idx="22">
                  <c:v>30.163498322104</c:v>
                </c:pt>
                <c:pt idx="23">
                  <c:v>31.15238402754979</c:v>
                </c:pt>
                <c:pt idx="24">
                  <c:v>31.76042023598356</c:v>
                </c:pt>
                <c:pt idx="25">
                  <c:v>33.11425205194724</c:v>
                </c:pt>
                <c:pt idx="26">
                  <c:v>33.72687417096104</c:v>
                </c:pt>
                <c:pt idx="27">
                  <c:v>34.44617211362075</c:v>
                </c:pt>
                <c:pt idx="28">
                  <c:v>35.40544237476301</c:v>
                </c:pt>
                <c:pt idx="29">
                  <c:v>36.04004015084384</c:v>
                </c:pt>
                <c:pt idx="30">
                  <c:v>38.5994131288282</c:v>
                </c:pt>
                <c:pt idx="31">
                  <c:v>40.45294401441895</c:v>
                </c:pt>
                <c:pt idx="32">
                  <c:v>42.09312320217528</c:v>
                </c:pt>
                <c:pt idx="33">
                  <c:v>43.1659278248519</c:v>
                </c:pt>
                <c:pt idx="34">
                  <c:v>44.40870948927532</c:v>
                </c:pt>
                <c:pt idx="35">
                  <c:v>44.9528932158919</c:v>
                </c:pt>
                <c:pt idx="36">
                  <c:v>45.97356727907037</c:v>
                </c:pt>
                <c:pt idx="37">
                  <c:v>46.88715402274402</c:v>
                </c:pt>
                <c:pt idx="38">
                  <c:v>47.77694103977475</c:v>
                </c:pt>
                <c:pt idx="39">
                  <c:v>48.00542497696964</c:v>
                </c:pt>
                <c:pt idx="40">
                  <c:v>48.34338381925331</c:v>
                </c:pt>
                <c:pt idx="41">
                  <c:v>48.8395433853499</c:v>
                </c:pt>
                <c:pt idx="42">
                  <c:v>48.8395433853499</c:v>
                </c:pt>
                <c:pt idx="43">
                  <c:v>49.0471399611182</c:v>
                </c:pt>
                <c:pt idx="44">
                  <c:v>49.17719775821394</c:v>
                </c:pt>
              </c:numCache>
            </c:numRef>
          </c:yVal>
          <c:smooth val="1"/>
        </c:ser>
        <c:ser>
          <c:idx val="2"/>
          <c:order val="2"/>
          <c:tx>
            <c:v>24oC</c:v>
          </c:tx>
          <c:spPr>
            <a:ln w="12700"/>
          </c:spPr>
          <c:marker>
            <c:symbol val="triangle"/>
            <c:size val="2"/>
          </c:marker>
          <c:xVal>
            <c:numRef>
              <c:f>'Cumulative Methane (mLgVS)'!$F$79:$F$126</c:f>
              <c:numCache>
                <c:formatCode>General</c:formatCode>
                <c:ptCount val="48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18.0</c:v>
                </c:pt>
                <c:pt idx="17">
                  <c:v>20.0</c:v>
                </c:pt>
                <c:pt idx="18">
                  <c:v>23.0</c:v>
                </c:pt>
                <c:pt idx="19">
                  <c:v>25.0</c:v>
                </c:pt>
                <c:pt idx="20">
                  <c:v>27.0</c:v>
                </c:pt>
                <c:pt idx="21">
                  <c:v>30.0</c:v>
                </c:pt>
                <c:pt idx="22">
                  <c:v>32.0</c:v>
                </c:pt>
                <c:pt idx="23">
                  <c:v>34.0</c:v>
                </c:pt>
                <c:pt idx="24">
                  <c:v>37.0</c:v>
                </c:pt>
                <c:pt idx="25">
                  <c:v>39.0</c:v>
                </c:pt>
                <c:pt idx="26">
                  <c:v>41.0</c:v>
                </c:pt>
                <c:pt idx="27">
                  <c:v>44.0</c:v>
                </c:pt>
                <c:pt idx="28">
                  <c:v>48.0</c:v>
                </c:pt>
                <c:pt idx="29">
                  <c:v>51.0</c:v>
                </c:pt>
                <c:pt idx="30">
                  <c:v>55.0</c:v>
                </c:pt>
                <c:pt idx="31">
                  <c:v>58.0</c:v>
                </c:pt>
                <c:pt idx="32">
                  <c:v>62.0</c:v>
                </c:pt>
                <c:pt idx="33">
                  <c:v>69.0</c:v>
                </c:pt>
                <c:pt idx="34">
                  <c:v>76.0</c:v>
                </c:pt>
                <c:pt idx="35">
                  <c:v>83.0</c:v>
                </c:pt>
                <c:pt idx="36">
                  <c:v>90.0</c:v>
                </c:pt>
                <c:pt idx="37">
                  <c:v>97.0</c:v>
                </c:pt>
                <c:pt idx="38">
                  <c:v>103.0</c:v>
                </c:pt>
                <c:pt idx="39">
                  <c:v>110.0</c:v>
                </c:pt>
                <c:pt idx="40">
                  <c:v>117.0</c:v>
                </c:pt>
                <c:pt idx="41">
                  <c:v>124.0</c:v>
                </c:pt>
                <c:pt idx="42">
                  <c:v>131.0</c:v>
                </c:pt>
                <c:pt idx="43">
                  <c:v>138.0</c:v>
                </c:pt>
                <c:pt idx="44">
                  <c:v>145.0</c:v>
                </c:pt>
                <c:pt idx="45">
                  <c:v>152.0</c:v>
                </c:pt>
                <c:pt idx="46">
                  <c:v>159.0</c:v>
                </c:pt>
                <c:pt idx="47">
                  <c:v>166.0</c:v>
                </c:pt>
              </c:numCache>
            </c:numRef>
          </c:xVal>
          <c:yVal>
            <c:numRef>
              <c:f>'Cumulative Methane (mLgVS)'!$J$79:$J$126</c:f>
              <c:numCache>
                <c:formatCode>General</c:formatCode>
                <c:ptCount val="48"/>
                <c:pt idx="0">
                  <c:v>1.71765673221882</c:v>
                </c:pt>
                <c:pt idx="1">
                  <c:v>5.077315420712308</c:v>
                </c:pt>
                <c:pt idx="2">
                  <c:v>10.12706878285601</c:v>
                </c:pt>
                <c:pt idx="3">
                  <c:v>15.75691565794005</c:v>
                </c:pt>
                <c:pt idx="4">
                  <c:v>22.12341722617312</c:v>
                </c:pt>
                <c:pt idx="5">
                  <c:v>27.43880103752276</c:v>
                </c:pt>
                <c:pt idx="6">
                  <c:v>33.01848102016405</c:v>
                </c:pt>
                <c:pt idx="7">
                  <c:v>37.1027412331469</c:v>
                </c:pt>
                <c:pt idx="8">
                  <c:v>40.45954218394797</c:v>
                </c:pt>
                <c:pt idx="9">
                  <c:v>43.66300715914192</c:v>
                </c:pt>
                <c:pt idx="10">
                  <c:v>45.88327518134023</c:v>
                </c:pt>
                <c:pt idx="11">
                  <c:v>49.42443195228334</c:v>
                </c:pt>
                <c:pt idx="12">
                  <c:v>52.05721062368877</c:v>
                </c:pt>
                <c:pt idx="13">
                  <c:v>54.66815406282498</c:v>
                </c:pt>
                <c:pt idx="14">
                  <c:v>56.6715630913253</c:v>
                </c:pt>
                <c:pt idx="15">
                  <c:v>59.21676437429042</c:v>
                </c:pt>
                <c:pt idx="16">
                  <c:v>62.9181972928305</c:v>
                </c:pt>
                <c:pt idx="17">
                  <c:v>66.84947571795828</c:v>
                </c:pt>
                <c:pt idx="18">
                  <c:v>72.65247697690397</c:v>
                </c:pt>
                <c:pt idx="19">
                  <c:v>75.9309687849139</c:v>
                </c:pt>
                <c:pt idx="20">
                  <c:v>79.1069713110921</c:v>
                </c:pt>
                <c:pt idx="21">
                  <c:v>83.7820317956178</c:v>
                </c:pt>
                <c:pt idx="22">
                  <c:v>86.86204956006455</c:v>
                </c:pt>
                <c:pt idx="23">
                  <c:v>89.34875439340914</c:v>
                </c:pt>
                <c:pt idx="24">
                  <c:v>93.36848555769711</c:v>
                </c:pt>
                <c:pt idx="25">
                  <c:v>96.48336750945909</c:v>
                </c:pt>
                <c:pt idx="26">
                  <c:v>99.57840105081962</c:v>
                </c:pt>
                <c:pt idx="27">
                  <c:v>103.3275139673953</c:v>
                </c:pt>
                <c:pt idx="28">
                  <c:v>108.3180894182283</c:v>
                </c:pt>
                <c:pt idx="29">
                  <c:v>111.3953965386445</c:v>
                </c:pt>
                <c:pt idx="30">
                  <c:v>115.0823890617264</c:v>
                </c:pt>
                <c:pt idx="31">
                  <c:v>118.1686266645507</c:v>
                </c:pt>
                <c:pt idx="32">
                  <c:v>120.8143497863475</c:v>
                </c:pt>
                <c:pt idx="33">
                  <c:v>125.7808750118667</c:v>
                </c:pt>
                <c:pt idx="34">
                  <c:v>130.4845644089416</c:v>
                </c:pt>
                <c:pt idx="35">
                  <c:v>133.2696199228589</c:v>
                </c:pt>
                <c:pt idx="36">
                  <c:v>136.4507299442812</c:v>
                </c:pt>
                <c:pt idx="37">
                  <c:v>138.969483297196</c:v>
                </c:pt>
                <c:pt idx="38">
                  <c:v>140.6906261731891</c:v>
                </c:pt>
                <c:pt idx="39">
                  <c:v>142.7559202146804</c:v>
                </c:pt>
                <c:pt idx="40">
                  <c:v>144.7248146171488</c:v>
                </c:pt>
                <c:pt idx="41">
                  <c:v>146.8520365237215</c:v>
                </c:pt>
                <c:pt idx="42">
                  <c:v>148.2388745993073</c:v>
                </c:pt>
                <c:pt idx="43">
                  <c:v>149.565986500618</c:v>
                </c:pt>
                <c:pt idx="44">
                  <c:v>151.0068021010031</c:v>
                </c:pt>
                <c:pt idx="45">
                  <c:v>151.8072175037481</c:v>
                </c:pt>
                <c:pt idx="46">
                  <c:v>153.3926556879938</c:v>
                </c:pt>
                <c:pt idx="47">
                  <c:v>154.3584069368714</c:v>
                </c:pt>
              </c:numCache>
            </c:numRef>
          </c:yVal>
          <c:smooth val="1"/>
        </c:ser>
        <c:axId val="841606008"/>
        <c:axId val="860847208"/>
      </c:scatterChart>
      <c:valAx>
        <c:axId val="8416060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Days</a:t>
                </a:r>
              </a:p>
            </c:rich>
          </c:tx>
          <c:layout/>
        </c:title>
        <c:numFmt formatCode="General" sourceLinked="1"/>
        <c:tickLblPos val="nextTo"/>
        <c:crossAx val="860847208"/>
        <c:crosses val="autoZero"/>
        <c:crossBetween val="midCat"/>
      </c:valAx>
      <c:valAx>
        <c:axId val="860847208"/>
        <c:scaling>
          <c:orientation val="minMax"/>
        </c:scaling>
        <c:axPos val="l"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Cumulative</a:t>
                </a:r>
                <a:r>
                  <a:rPr lang="en-US" baseline="0"/>
                  <a:t> Methane (mL/gVS)</a:t>
                </a:r>
                <a:endParaRPr lang="en-US"/>
              </a:p>
            </c:rich>
          </c:tx>
          <c:layout/>
        </c:title>
        <c:numFmt formatCode="General" sourceLinked="1"/>
        <c:tickLblPos val="nextTo"/>
        <c:crossAx val="841606008"/>
        <c:crosses val="autoZero"/>
        <c:crossBetween val="midCat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1256</Characters>
  <Application>Microsoft Macintosh Word</Application>
  <DocSecurity>0</DocSecurity>
  <Lines>10</Lines>
  <Paragraphs>2</Paragraphs>
  <ScaleCrop>false</ScaleCrop>
  <Company>Drake University </Company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Witarsa</dc:creator>
  <cp:keywords/>
  <cp:lastModifiedBy>Freddy Witarsa</cp:lastModifiedBy>
  <cp:revision>1</cp:revision>
  <dcterms:created xsi:type="dcterms:W3CDTF">2012-01-15T04:17:00Z</dcterms:created>
  <dcterms:modified xsi:type="dcterms:W3CDTF">2012-01-15T04:17:00Z</dcterms:modified>
</cp:coreProperties>
</file>