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7F" w:rsidRDefault="00727D7F" w:rsidP="00727D7F">
      <w:pPr>
        <w:pStyle w:val="Style18ptBoldCentered"/>
        <w:spacing w:after="0"/>
        <w:rPr>
          <w:szCs w:val="36"/>
        </w:rPr>
      </w:pPr>
      <w:r>
        <w:rPr>
          <w:szCs w:val="36"/>
        </w:rPr>
        <w:t>On-</w:t>
      </w:r>
      <w:r w:rsidR="00B24082">
        <w:rPr>
          <w:szCs w:val="36"/>
        </w:rPr>
        <w:t>farm cooperator trial</w:t>
      </w:r>
      <w:r w:rsidR="00224010">
        <w:rPr>
          <w:szCs w:val="36"/>
        </w:rPr>
        <w:t>s</w:t>
      </w:r>
      <w:r w:rsidR="00182210">
        <w:rPr>
          <w:szCs w:val="36"/>
        </w:rPr>
        <w:t xml:space="preserve"> 201</w:t>
      </w:r>
      <w:r w:rsidR="003A7620">
        <w:rPr>
          <w:szCs w:val="36"/>
        </w:rPr>
        <w:t>1</w:t>
      </w:r>
      <w:r w:rsidR="000D3B49">
        <w:rPr>
          <w:szCs w:val="36"/>
        </w:rPr>
        <w:t>:  e</w:t>
      </w:r>
      <w:r w:rsidR="008238F1" w:rsidRPr="00C8231D">
        <w:rPr>
          <w:szCs w:val="36"/>
        </w:rPr>
        <w:t>ffect</w:t>
      </w:r>
      <w:r w:rsidR="00EF2BEB" w:rsidRPr="00C8231D">
        <w:rPr>
          <w:szCs w:val="36"/>
        </w:rPr>
        <w:t xml:space="preserve"> of e</w:t>
      </w:r>
      <w:r w:rsidR="00E356AF" w:rsidRPr="00C8231D">
        <w:rPr>
          <w:szCs w:val="36"/>
        </w:rPr>
        <w:t>xtended</w:t>
      </w:r>
      <w:r w:rsidR="00EF2BEB" w:rsidRPr="00C8231D">
        <w:rPr>
          <w:szCs w:val="36"/>
        </w:rPr>
        <w:t>-duration row c</w:t>
      </w:r>
      <w:r w:rsidR="00E356AF" w:rsidRPr="00C8231D">
        <w:rPr>
          <w:szCs w:val="36"/>
        </w:rPr>
        <w:t>over</w:t>
      </w:r>
      <w:r w:rsidR="00EF2BEB" w:rsidRPr="00C8231D">
        <w:rPr>
          <w:szCs w:val="36"/>
        </w:rPr>
        <w:t>s</w:t>
      </w:r>
      <w:r w:rsidR="00E356AF" w:rsidRPr="00C8231D">
        <w:rPr>
          <w:szCs w:val="36"/>
        </w:rPr>
        <w:t xml:space="preserve"> o</w:t>
      </w:r>
      <w:r w:rsidR="008238F1" w:rsidRPr="00C8231D">
        <w:rPr>
          <w:szCs w:val="36"/>
        </w:rPr>
        <w:t>n</w:t>
      </w:r>
      <w:r w:rsidR="00EF2BEB" w:rsidRPr="00C8231D">
        <w:rPr>
          <w:szCs w:val="36"/>
        </w:rPr>
        <w:t xml:space="preserve"> m</w:t>
      </w:r>
      <w:r w:rsidR="00224010">
        <w:rPr>
          <w:szCs w:val="36"/>
        </w:rPr>
        <w:t>uskmelon and winter squash</w:t>
      </w:r>
      <w:r w:rsidR="0006583A">
        <w:rPr>
          <w:szCs w:val="36"/>
        </w:rPr>
        <w:t xml:space="preserve"> on </w:t>
      </w:r>
    </w:p>
    <w:p w:rsidR="00BD0808" w:rsidRPr="00C8231D" w:rsidRDefault="0006583A" w:rsidP="00727D7F">
      <w:pPr>
        <w:pStyle w:val="Style18ptBoldCentered"/>
        <w:spacing w:after="0"/>
        <w:rPr>
          <w:szCs w:val="36"/>
        </w:rPr>
      </w:pPr>
      <w:r>
        <w:rPr>
          <w:szCs w:val="36"/>
        </w:rPr>
        <w:t>bacterial wilt and yield</w:t>
      </w:r>
    </w:p>
    <w:p w:rsidR="00AE0D77" w:rsidRDefault="00AE0D77" w:rsidP="0006583A">
      <w:pPr>
        <w:rPr>
          <w:b/>
          <w:sz w:val="20"/>
          <w:szCs w:val="20"/>
        </w:rPr>
      </w:pPr>
    </w:p>
    <w:p w:rsidR="00AE0D77" w:rsidRDefault="00AE0D77" w:rsidP="0006583A">
      <w:pPr>
        <w:rPr>
          <w:b/>
          <w:sz w:val="20"/>
          <w:szCs w:val="20"/>
        </w:rPr>
      </w:pPr>
    </w:p>
    <w:p w:rsidR="00AE0D77" w:rsidRDefault="00AE0D77" w:rsidP="0006583A">
      <w:pPr>
        <w:rPr>
          <w:b/>
          <w:sz w:val="20"/>
          <w:szCs w:val="20"/>
        </w:rPr>
      </w:pPr>
    </w:p>
    <w:p w:rsidR="00AE0D77" w:rsidRPr="00C8231D" w:rsidRDefault="00AE0D77" w:rsidP="0006583A">
      <w:pPr>
        <w:rPr>
          <w:b/>
          <w:sz w:val="20"/>
          <w:szCs w:val="20"/>
        </w:rPr>
        <w:sectPr w:rsidR="00AE0D77" w:rsidRPr="00C8231D" w:rsidSect="00FD51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E7DF6" w:rsidRDefault="001E7DF6" w:rsidP="001E7DF6">
      <w:pPr>
        <w:jc w:val="center"/>
      </w:pPr>
      <w:r w:rsidRPr="00FB15ED">
        <w:lastRenderedPageBreak/>
        <w:t xml:space="preserve">Jean </w:t>
      </w:r>
      <w:r w:rsidR="00AE0D77" w:rsidRPr="00FB15ED">
        <w:t xml:space="preserve">C. </w:t>
      </w:r>
      <w:r w:rsidRPr="00FB15ED">
        <w:t xml:space="preserve">Batzer, </w:t>
      </w:r>
      <w:r w:rsidR="004969A3">
        <w:t>a</w:t>
      </w:r>
      <w:r w:rsidRPr="00FB15ED">
        <w:t xml:space="preserve">ssistant </w:t>
      </w:r>
      <w:r w:rsidR="004969A3">
        <w:t>s</w:t>
      </w:r>
      <w:r w:rsidRPr="00FB15ED">
        <w:t>cientist</w:t>
      </w:r>
    </w:p>
    <w:p w:rsidR="003A7620" w:rsidRPr="00FB15ED" w:rsidRDefault="003A7620" w:rsidP="001E7DF6">
      <w:pPr>
        <w:jc w:val="center"/>
      </w:pPr>
      <w:r>
        <w:t xml:space="preserve">Heather Kearney, </w:t>
      </w:r>
      <w:r w:rsidR="004969A3">
        <w:t>u</w:t>
      </w:r>
      <w:r>
        <w:t xml:space="preserve">ndergraduate student </w:t>
      </w:r>
    </w:p>
    <w:p w:rsidR="001E7DF6" w:rsidRPr="00FB15ED" w:rsidRDefault="001E7DF6" w:rsidP="00014C11">
      <w:pPr>
        <w:ind w:firstLine="360"/>
        <w:jc w:val="center"/>
      </w:pPr>
      <w:r w:rsidRPr="00FB15ED">
        <w:t>Mark</w:t>
      </w:r>
      <w:r w:rsidR="00AE0D77" w:rsidRPr="00FB15ED">
        <w:t xml:space="preserve"> L.</w:t>
      </w:r>
      <w:r w:rsidRPr="00FB15ED">
        <w:t xml:space="preserve"> Gle</w:t>
      </w:r>
      <w:r w:rsidR="00014C11" w:rsidRPr="00FB15ED">
        <w:t xml:space="preserve">ason, </w:t>
      </w:r>
      <w:r w:rsidR="004969A3">
        <w:t>professor/e</w:t>
      </w:r>
      <w:r w:rsidR="00014C11" w:rsidRPr="00FB15ED">
        <w:t xml:space="preserve">xtension </w:t>
      </w:r>
      <w:r w:rsidR="004969A3">
        <w:t>p</w:t>
      </w:r>
      <w:r w:rsidR="00014C11" w:rsidRPr="00FB15ED">
        <w:t>lant</w:t>
      </w:r>
      <w:r w:rsidR="001865D7" w:rsidRPr="00FB15ED">
        <w:t xml:space="preserve"> </w:t>
      </w:r>
      <w:r w:rsidR="008867B1">
        <w:t>p</w:t>
      </w:r>
      <w:r w:rsidRPr="00FB15ED">
        <w:t>athologist</w:t>
      </w:r>
    </w:p>
    <w:p w:rsidR="001E7DF6" w:rsidRPr="00FB15ED" w:rsidRDefault="001E7DF6" w:rsidP="001E7DF6">
      <w:pPr>
        <w:jc w:val="center"/>
      </w:pPr>
      <w:r w:rsidRPr="00FB15ED">
        <w:t>Department of Plant Pathology</w:t>
      </w:r>
    </w:p>
    <w:p w:rsidR="008238F1" w:rsidRPr="00FB15ED" w:rsidRDefault="008238F1" w:rsidP="008238F1">
      <w:pPr>
        <w:jc w:val="center"/>
        <w:rPr>
          <w:b/>
        </w:rPr>
      </w:pPr>
    </w:p>
    <w:p w:rsidR="008238F1" w:rsidRPr="00FB15ED" w:rsidRDefault="008238F1" w:rsidP="00533A38">
      <w:pPr>
        <w:rPr>
          <w:b/>
        </w:rPr>
      </w:pPr>
      <w:r w:rsidRPr="00FB15ED">
        <w:rPr>
          <w:b/>
        </w:rPr>
        <w:t>Introduction</w:t>
      </w:r>
    </w:p>
    <w:p w:rsidR="00C8231D" w:rsidRPr="00FB15ED" w:rsidRDefault="00727D7F" w:rsidP="00533A38">
      <w:r w:rsidRPr="00FB15ED">
        <w:t xml:space="preserve">Susceptible </w:t>
      </w:r>
      <w:r w:rsidR="00F70479" w:rsidRPr="00FB15ED">
        <w:t>c</w:t>
      </w:r>
      <w:r w:rsidR="00C8231D" w:rsidRPr="00FB15ED">
        <w:t>ucurbit crops</w:t>
      </w:r>
      <w:r w:rsidR="00FF123A" w:rsidRPr="00FB15ED">
        <w:t xml:space="preserve"> </w:t>
      </w:r>
      <w:r w:rsidR="00CB4D26" w:rsidRPr="00FB15ED">
        <w:t xml:space="preserve">are difficult to grow in Iowa because of </w:t>
      </w:r>
      <w:r w:rsidR="00C8231D" w:rsidRPr="00FB15ED">
        <w:t>bacterial wilt, caus</w:t>
      </w:r>
      <w:r w:rsidR="00CB4D26" w:rsidRPr="00FB15ED">
        <w:t xml:space="preserve">ed by </w:t>
      </w:r>
      <w:r w:rsidR="00CB4D26" w:rsidRPr="00FB15ED">
        <w:rPr>
          <w:i/>
        </w:rPr>
        <w:t>Erwinia tracheiphila.</w:t>
      </w:r>
      <w:r w:rsidR="00C8231D" w:rsidRPr="00FB15ED">
        <w:t xml:space="preserve"> </w:t>
      </w:r>
      <w:r w:rsidR="00E71D54" w:rsidRPr="00FB15ED">
        <w:t>S</w:t>
      </w:r>
      <w:r w:rsidR="00C8231D" w:rsidRPr="00FB15ED">
        <w:t>triped and spotted cucumber beetles transmit bacterial wilt</w:t>
      </w:r>
      <w:r w:rsidR="00E71D54" w:rsidRPr="00FB15ED">
        <w:t>.</w:t>
      </w:r>
      <w:r w:rsidR="00014C11" w:rsidRPr="00FB15ED">
        <w:t xml:space="preserve"> Other insect pests </w:t>
      </w:r>
      <w:r w:rsidRPr="00FB15ED">
        <w:t>such as</w:t>
      </w:r>
      <w:r w:rsidR="00014C11" w:rsidRPr="00FB15ED">
        <w:t xml:space="preserve"> squash vine borer and squash bugs may also have an economic impact on yield, particularly in squash.</w:t>
      </w:r>
    </w:p>
    <w:p w:rsidR="00E71D54" w:rsidRPr="00FB15ED" w:rsidRDefault="00E71D54" w:rsidP="00533A38"/>
    <w:p w:rsidR="00C8231D" w:rsidRPr="00FB15ED" w:rsidRDefault="00C8231D" w:rsidP="00533A38">
      <w:r w:rsidRPr="00FB15ED">
        <w:t>Row covers</w:t>
      </w:r>
      <w:r w:rsidR="00014C11" w:rsidRPr="00FB15ED">
        <w:t xml:space="preserve"> are used</w:t>
      </w:r>
      <w:r w:rsidRPr="00FB15ED">
        <w:t xml:space="preserve"> to increase crop earliness </w:t>
      </w:r>
      <w:r w:rsidR="00224010" w:rsidRPr="00FB15ED">
        <w:t xml:space="preserve">and protect </w:t>
      </w:r>
      <w:r w:rsidR="00727D7F" w:rsidRPr="00FB15ED">
        <w:t>against insect</w:t>
      </w:r>
      <w:r w:rsidR="00224010" w:rsidRPr="00FB15ED">
        <w:t xml:space="preserve"> pest</w:t>
      </w:r>
      <w:r w:rsidR="00014C11" w:rsidRPr="00FB15ED">
        <w:t>s</w:t>
      </w:r>
      <w:r w:rsidR="00224010" w:rsidRPr="00FB15ED">
        <w:t>.</w:t>
      </w:r>
      <w:r w:rsidRPr="00FB15ED">
        <w:t xml:space="preserve"> Row covers are usually deployed from transplant until anthesis (start of flowering), then removed to allow insect pollination.  By </w:t>
      </w:r>
      <w:r w:rsidR="00FF123A" w:rsidRPr="00FB15ED">
        <w:t>opening the ends of the row covers at anthesis to enable pollination</w:t>
      </w:r>
      <w:r w:rsidRPr="00FB15ED">
        <w:t xml:space="preserve"> it may be possible to extend row cover duration by ~10 days beyond anthesis. Extending row cover protection may shield </w:t>
      </w:r>
      <w:r w:rsidR="00FF123A" w:rsidRPr="00FB15ED">
        <w:t>cucurbit</w:t>
      </w:r>
      <w:r w:rsidRPr="00FB15ED">
        <w:t xml:space="preserve"> crops from the first emergence of wilt-vectoring cucumber beetles, leading to a healthier crop and a greater yield. </w:t>
      </w:r>
      <w:r w:rsidR="00FF123A" w:rsidRPr="00FB15ED">
        <w:t>W</w:t>
      </w:r>
      <w:r w:rsidR="00727D7F" w:rsidRPr="00FB15ED">
        <w:t>ith cooperators Angela Tedesco (Turtle Farm), Gary Guthrie (Growing Harmony</w:t>
      </w:r>
      <w:r w:rsidR="00F70479" w:rsidRPr="00FB15ED">
        <w:t xml:space="preserve"> Farm), and Susan Jutz (ZJ Farm</w:t>
      </w:r>
      <w:r w:rsidR="00727D7F" w:rsidRPr="00FB15ED">
        <w:t>) w</w:t>
      </w:r>
      <w:r w:rsidR="00CB4D26" w:rsidRPr="00FB15ED">
        <w:t>e tested th</w:t>
      </w:r>
      <w:r w:rsidR="00EC3686" w:rsidRPr="00FB15ED">
        <w:t xml:space="preserve">is strategy </w:t>
      </w:r>
      <w:r w:rsidR="00FF123A" w:rsidRPr="00FB15ED">
        <w:t xml:space="preserve">with </w:t>
      </w:r>
      <w:r w:rsidR="00224010" w:rsidRPr="00FB15ED">
        <w:t>butternut squash in 15</w:t>
      </w:r>
      <w:r w:rsidR="00FF123A" w:rsidRPr="00FB15ED">
        <w:t>0-foot</w:t>
      </w:r>
      <w:r w:rsidR="00F70479" w:rsidRPr="00FB15ED">
        <w:t>-</w:t>
      </w:r>
      <w:r w:rsidR="00FF123A" w:rsidRPr="00FB15ED">
        <w:t>long row covers</w:t>
      </w:r>
      <w:r w:rsidR="00224010" w:rsidRPr="00FB15ED">
        <w:t xml:space="preserve"> and muskmelon in 30-foot long row covers </w:t>
      </w:r>
      <w:r w:rsidR="00727D7F" w:rsidRPr="00FB15ED">
        <w:t>in</w:t>
      </w:r>
      <w:r w:rsidR="00224010" w:rsidRPr="00FB15ED">
        <w:t xml:space="preserve"> </w:t>
      </w:r>
      <w:r w:rsidR="00FF123A" w:rsidRPr="00FB15ED">
        <w:t>non-replicated trial</w:t>
      </w:r>
      <w:r w:rsidR="00224010" w:rsidRPr="00FB15ED">
        <w:t>s</w:t>
      </w:r>
      <w:r w:rsidR="00F70479" w:rsidRPr="00FB15ED">
        <w:t>.</w:t>
      </w:r>
      <w:r w:rsidR="00EC3686" w:rsidRPr="00FB15ED">
        <w:t xml:space="preserve"> </w:t>
      </w:r>
    </w:p>
    <w:p w:rsidR="00C8231D" w:rsidRPr="00FB15ED" w:rsidRDefault="00C8231D" w:rsidP="00533A38">
      <w:pPr>
        <w:ind w:firstLine="720"/>
      </w:pPr>
    </w:p>
    <w:p w:rsidR="00713957" w:rsidRPr="00FB15ED" w:rsidRDefault="00713957" w:rsidP="00533A38">
      <w:pPr>
        <w:rPr>
          <w:b/>
        </w:rPr>
      </w:pPr>
      <w:r w:rsidRPr="00FB15ED">
        <w:rPr>
          <w:b/>
        </w:rPr>
        <w:t>Materials and Methods</w:t>
      </w:r>
    </w:p>
    <w:p w:rsidR="00713957" w:rsidRPr="00FB15ED" w:rsidRDefault="00224010" w:rsidP="00533A38">
      <w:r w:rsidRPr="00FB15ED">
        <w:t>At Turtle Farm</w:t>
      </w:r>
      <w:r w:rsidR="00727D7F" w:rsidRPr="00FB15ED">
        <w:t xml:space="preserve"> (Gra</w:t>
      </w:r>
      <w:r w:rsidR="00B049CB" w:rsidRPr="00FB15ED">
        <w:t>i</w:t>
      </w:r>
      <w:r w:rsidR="00727D7F" w:rsidRPr="00FB15ED">
        <w:t>nger, IA)</w:t>
      </w:r>
      <w:r w:rsidRPr="00FB15ED">
        <w:t>, ‘</w:t>
      </w:r>
      <w:r w:rsidR="003A27A2" w:rsidRPr="00FB15ED">
        <w:t>Be</w:t>
      </w:r>
      <w:r w:rsidRPr="00FB15ED">
        <w:t>tternut</w:t>
      </w:r>
      <w:r w:rsidR="00AE0D77" w:rsidRPr="00FB15ED">
        <w:t xml:space="preserve"> 401</w:t>
      </w:r>
      <w:r w:rsidRPr="00FB15ED">
        <w:t xml:space="preserve">’ winter squash </w:t>
      </w:r>
      <w:r w:rsidR="00014C11" w:rsidRPr="00FB15ED">
        <w:t>was</w:t>
      </w:r>
      <w:r w:rsidRPr="00FB15ED">
        <w:t xml:space="preserve"> transplanted every </w:t>
      </w:r>
      <w:r w:rsidRPr="00FB15ED">
        <w:lastRenderedPageBreak/>
        <w:t>two feet (2 seeds per hill) in 150-foot long segments. At Growing Harmony Farm</w:t>
      </w:r>
      <w:r w:rsidR="00727D7F" w:rsidRPr="00FB15ED">
        <w:t xml:space="preserve"> (Nevada, IA) and</w:t>
      </w:r>
      <w:r w:rsidRPr="00FB15ED">
        <w:t xml:space="preserve"> ZJ Farm</w:t>
      </w:r>
      <w:r w:rsidR="00727D7F" w:rsidRPr="00FB15ED">
        <w:t xml:space="preserve"> (Solon, IA)</w:t>
      </w:r>
      <w:r w:rsidR="003A27A2" w:rsidRPr="00FB15ED">
        <w:t>, ‘Strike’</w:t>
      </w:r>
      <w:r w:rsidRPr="00FB15ED">
        <w:t xml:space="preserve"> and ‘Athena’ muskmelon</w:t>
      </w:r>
      <w:r w:rsidR="00727D7F" w:rsidRPr="00FB15ED">
        <w:t>,</w:t>
      </w:r>
      <w:r w:rsidRPr="00FB15ED">
        <w:t xml:space="preserve"> </w:t>
      </w:r>
      <w:r w:rsidR="00014C11" w:rsidRPr="00FB15ED">
        <w:t>respectively,</w:t>
      </w:r>
      <w:r w:rsidR="003A27A2" w:rsidRPr="00FB15ED">
        <w:t xml:space="preserve"> were</w:t>
      </w:r>
      <w:r w:rsidRPr="00FB15ED">
        <w:t xml:space="preserve"> transplanted into </w:t>
      </w:r>
      <w:r w:rsidR="00C005CD">
        <w:t xml:space="preserve">30 ft rows of </w:t>
      </w:r>
      <w:r w:rsidRPr="00FB15ED">
        <w:t>black plastic mulch</w:t>
      </w:r>
      <w:r w:rsidR="003A27A2" w:rsidRPr="00FB15ED">
        <w:t>. At each farm</w:t>
      </w:r>
      <w:r w:rsidR="00727D7F" w:rsidRPr="00FB15ED">
        <w:t>,</w:t>
      </w:r>
      <w:r w:rsidR="003A27A2" w:rsidRPr="00FB15ED">
        <w:t xml:space="preserve"> single-row treatments using polymer row covers (Agribon AG-30) on wire hoops, with edges buried in </w:t>
      </w:r>
      <w:r w:rsidR="00B049CB" w:rsidRPr="00FB15ED">
        <w:t>soil</w:t>
      </w:r>
      <w:r w:rsidR="003A27A2" w:rsidRPr="00FB15ED">
        <w:t xml:space="preserve"> were compared</w:t>
      </w:r>
      <w:r w:rsidRPr="00FB15ED">
        <w:t xml:space="preserve"> </w:t>
      </w:r>
      <w:r w:rsidR="00CE7194" w:rsidRPr="00FB15ED">
        <w:t>as follow</w:t>
      </w:r>
      <w:r w:rsidR="00FF123A" w:rsidRPr="00FB15ED">
        <w:t>s</w:t>
      </w:r>
      <w:r w:rsidR="00CE7194" w:rsidRPr="00FB15ED">
        <w:t>:</w:t>
      </w:r>
    </w:p>
    <w:p w:rsidR="00C8231D" w:rsidRPr="00FB15ED" w:rsidRDefault="00C8231D" w:rsidP="00533A38"/>
    <w:p w:rsidR="00CE7194" w:rsidRPr="00FB15ED" w:rsidRDefault="007E692A" w:rsidP="00533A38">
      <w:pPr>
        <w:numPr>
          <w:ilvl w:val="0"/>
          <w:numId w:val="1"/>
        </w:numPr>
      </w:pPr>
      <w:r w:rsidRPr="00FB15ED">
        <w:t xml:space="preserve">Rows </w:t>
      </w:r>
      <w:r w:rsidR="00213DE3" w:rsidRPr="00FB15ED">
        <w:t xml:space="preserve">covers removed at </w:t>
      </w:r>
      <w:r w:rsidR="00B62A6D" w:rsidRPr="00FB15ED">
        <w:t>anthesis</w:t>
      </w:r>
      <w:r w:rsidR="00CE7194" w:rsidRPr="00FB15ED">
        <w:t>.</w:t>
      </w:r>
      <w:r w:rsidR="00FB37B1" w:rsidRPr="00FB15ED">
        <w:t xml:space="preserve"> </w:t>
      </w:r>
    </w:p>
    <w:p w:rsidR="00B62A6D" w:rsidRPr="00FB15ED" w:rsidRDefault="00303E5A" w:rsidP="00533A38">
      <w:pPr>
        <w:numPr>
          <w:ilvl w:val="0"/>
          <w:numId w:val="1"/>
        </w:numPr>
      </w:pPr>
      <w:r w:rsidRPr="00FB15ED">
        <w:t>Row</w:t>
      </w:r>
      <w:r w:rsidR="00213DE3" w:rsidRPr="00FB15ED">
        <w:t xml:space="preserve"> covers r</w:t>
      </w:r>
      <w:r w:rsidRPr="00FB15ED">
        <w:t xml:space="preserve">emoved </w:t>
      </w:r>
      <w:r w:rsidR="00213DE3" w:rsidRPr="00FB15ED">
        <w:t>10</w:t>
      </w:r>
      <w:r w:rsidR="00B62A6D" w:rsidRPr="00FB15ED">
        <w:t xml:space="preserve"> days after anthesis. At anthesis, both ends of row covers were opened to allow pollination</w:t>
      </w:r>
      <w:r w:rsidR="00CE7194" w:rsidRPr="00FB15ED">
        <w:t>.</w:t>
      </w:r>
    </w:p>
    <w:p w:rsidR="00B62A6D" w:rsidRPr="00FB15ED" w:rsidRDefault="00B62A6D" w:rsidP="00AE0D77">
      <w:pPr>
        <w:numPr>
          <w:ilvl w:val="0"/>
          <w:numId w:val="1"/>
        </w:numPr>
      </w:pPr>
      <w:r w:rsidRPr="00FB15ED">
        <w:t>No row cover</w:t>
      </w:r>
      <w:r w:rsidR="00E356AF" w:rsidRPr="00FB15ED">
        <w:t>s</w:t>
      </w:r>
      <w:r w:rsidRPr="00FB15ED">
        <w:t>.</w:t>
      </w:r>
    </w:p>
    <w:p w:rsidR="00666AD2" w:rsidRPr="00FB15ED" w:rsidRDefault="00666AD2" w:rsidP="00533A38"/>
    <w:p w:rsidR="00617FDB" w:rsidRPr="00FB15ED" w:rsidRDefault="00666AD2" w:rsidP="00533A38">
      <w:r w:rsidRPr="00FB15ED">
        <w:t>S</w:t>
      </w:r>
      <w:r w:rsidR="00617FDB" w:rsidRPr="00FB15ED">
        <w:t>tri</w:t>
      </w:r>
      <w:r w:rsidRPr="00FB15ED">
        <w:t>ped and spotted cucumber beetle numbers</w:t>
      </w:r>
      <w:r w:rsidR="00617FDB" w:rsidRPr="00FB15ED">
        <w:t xml:space="preserve"> </w:t>
      </w:r>
      <w:r w:rsidR="00483E5F" w:rsidRPr="00FB15ED">
        <w:t>w</w:t>
      </w:r>
      <w:r w:rsidR="00192EFB" w:rsidRPr="00FB15ED">
        <w:t>ere</w:t>
      </w:r>
      <w:r w:rsidR="00617FDB" w:rsidRPr="00FB15ED">
        <w:t xml:space="preserve"> </w:t>
      </w:r>
      <w:r w:rsidR="00483E5F" w:rsidRPr="00FB15ED">
        <w:t>monitored</w:t>
      </w:r>
      <w:r w:rsidR="003A27A2" w:rsidRPr="00FB15ED">
        <w:t xml:space="preserve"> </w:t>
      </w:r>
      <w:r w:rsidRPr="00FB15ED">
        <w:t xml:space="preserve">weekly </w:t>
      </w:r>
      <w:r w:rsidR="00483E5F" w:rsidRPr="00FB15ED">
        <w:t xml:space="preserve">from </w:t>
      </w:r>
      <w:r w:rsidR="003A27A2" w:rsidRPr="00FB15ED">
        <w:t xml:space="preserve">transplant </w:t>
      </w:r>
      <w:r w:rsidR="00483E5F" w:rsidRPr="00FB15ED">
        <w:t xml:space="preserve">through the end of </w:t>
      </w:r>
      <w:r w:rsidR="001D3F16" w:rsidRPr="00FB15ED">
        <w:t>harvest</w:t>
      </w:r>
      <w:r w:rsidR="00E71D54" w:rsidRPr="00FB15ED">
        <w:t>,</w:t>
      </w:r>
      <w:r w:rsidR="001D3F16" w:rsidRPr="00FB15ED">
        <w:t xml:space="preserve"> using</w:t>
      </w:r>
      <w:r w:rsidR="00617FDB" w:rsidRPr="00FB15ED">
        <w:t xml:space="preserve"> yellow sticky cards. Beginning </w:t>
      </w:r>
      <w:r w:rsidR="00CE7194" w:rsidRPr="00FB15ED">
        <w:t>after row cover removal</w:t>
      </w:r>
      <w:r w:rsidR="001865D7" w:rsidRPr="00FB15ED">
        <w:t>,</w:t>
      </w:r>
      <w:r w:rsidR="001C08A2" w:rsidRPr="00FB15ED">
        <w:t xml:space="preserve"> the number of</w:t>
      </w:r>
      <w:r w:rsidR="008F1FA0" w:rsidRPr="00FB15ED">
        <w:t xml:space="preserve"> </w:t>
      </w:r>
      <w:r w:rsidR="00535549" w:rsidRPr="00FB15ED">
        <w:t>healthy, wilted, or dead</w:t>
      </w:r>
      <w:r w:rsidR="008F1FA0" w:rsidRPr="00FB15ED">
        <w:t xml:space="preserve"> plants </w:t>
      </w:r>
      <w:r w:rsidR="00AD4338" w:rsidRPr="00FB15ED">
        <w:t xml:space="preserve">in </w:t>
      </w:r>
      <w:r w:rsidR="00535549" w:rsidRPr="00FB15ED">
        <w:t xml:space="preserve">each row </w:t>
      </w:r>
      <w:r w:rsidR="00AD4338" w:rsidRPr="00FB15ED">
        <w:t>was</w:t>
      </w:r>
      <w:r w:rsidR="008F1FA0" w:rsidRPr="00FB15ED">
        <w:t xml:space="preserve"> </w:t>
      </w:r>
      <w:r w:rsidR="00AD4338" w:rsidRPr="00FB15ED">
        <w:t>assessed</w:t>
      </w:r>
      <w:r w:rsidR="008F1FA0" w:rsidRPr="00FB15ED">
        <w:t xml:space="preserve"> weekly</w:t>
      </w:r>
      <w:r w:rsidR="00617FDB" w:rsidRPr="00FB15ED">
        <w:t xml:space="preserve">. </w:t>
      </w:r>
      <w:r w:rsidR="00535549" w:rsidRPr="00FB15ED">
        <w:t>T</w:t>
      </w:r>
      <w:r w:rsidR="00617FDB" w:rsidRPr="00FB15ED">
        <w:t xml:space="preserve">he </w:t>
      </w:r>
      <w:r w:rsidR="00AD4338" w:rsidRPr="00FB15ED">
        <w:t>number</w:t>
      </w:r>
      <w:r w:rsidR="00617FDB" w:rsidRPr="00FB15ED">
        <w:t xml:space="preserve"> and weight of </w:t>
      </w:r>
      <w:r w:rsidR="00CE7194" w:rsidRPr="00FB15ED">
        <w:t>squash</w:t>
      </w:r>
      <w:r w:rsidR="00014C11" w:rsidRPr="00FB15ED">
        <w:t xml:space="preserve"> and muskmelon</w:t>
      </w:r>
      <w:r w:rsidR="00617FDB" w:rsidRPr="00FB15ED">
        <w:t xml:space="preserve"> harvested from each row </w:t>
      </w:r>
      <w:r w:rsidR="00727D7F" w:rsidRPr="00FB15ED">
        <w:t>were</w:t>
      </w:r>
      <w:r w:rsidR="00617FDB" w:rsidRPr="00FB15ED">
        <w:t xml:space="preserve"> also recorded. </w:t>
      </w:r>
    </w:p>
    <w:p w:rsidR="00951AED" w:rsidRPr="00FB15ED" w:rsidRDefault="00951AED" w:rsidP="00533A38"/>
    <w:p w:rsidR="00951AED" w:rsidRPr="00FB15ED" w:rsidRDefault="00951AED" w:rsidP="00533A38">
      <w:pPr>
        <w:rPr>
          <w:b/>
        </w:rPr>
      </w:pPr>
      <w:r w:rsidRPr="00FB15ED">
        <w:rPr>
          <w:b/>
        </w:rPr>
        <w:t>Results and Discussion</w:t>
      </w:r>
    </w:p>
    <w:p w:rsidR="00C005CD" w:rsidRDefault="00CD4D08" w:rsidP="00533A38">
      <w:r>
        <w:t>R</w:t>
      </w:r>
      <w:r w:rsidR="003A27A2" w:rsidRPr="00FB15ED">
        <w:t xml:space="preserve">ow covers </w:t>
      </w:r>
      <w:r w:rsidR="000D1B1A">
        <w:t xml:space="preserve">removed at anthesis </w:t>
      </w:r>
      <w:r w:rsidR="003A27A2" w:rsidRPr="00FB15ED">
        <w:t>provided</w:t>
      </w:r>
      <w:r w:rsidR="000D1B1A">
        <w:t xml:space="preserve"> slightly earlier </w:t>
      </w:r>
      <w:r w:rsidR="00C005CD">
        <w:t xml:space="preserve">muskmelon </w:t>
      </w:r>
      <w:r w:rsidR="000D1B1A">
        <w:t xml:space="preserve">harvests and higher yields than </w:t>
      </w:r>
      <w:r>
        <w:t>other treatments</w:t>
      </w:r>
      <w:r w:rsidR="003A27A2" w:rsidRPr="00FB15ED">
        <w:t xml:space="preserve"> (</w:t>
      </w:r>
      <w:r>
        <w:t>Figure</w:t>
      </w:r>
      <w:r w:rsidR="003A27A2" w:rsidRPr="00FB15ED">
        <w:t xml:space="preserve"> 1)</w:t>
      </w:r>
      <w:r>
        <w:t xml:space="preserve"> for both Growing Harmony and ZJ Farms</w:t>
      </w:r>
      <w:r w:rsidR="003A27A2" w:rsidRPr="00FB15ED">
        <w:t>.</w:t>
      </w:r>
      <w:r>
        <w:t xml:space="preserve"> </w:t>
      </w:r>
      <w:r w:rsidR="003A27A2" w:rsidRPr="00FB15ED">
        <w:t xml:space="preserve"> </w:t>
      </w:r>
      <w:r w:rsidR="0042144F">
        <w:t xml:space="preserve">A late frost resulted in loss of </w:t>
      </w:r>
      <w:r w:rsidR="00C005CD">
        <w:t xml:space="preserve">muskmelon </w:t>
      </w:r>
      <w:r w:rsidR="0042144F">
        <w:t>seedlings that were not protected by row covers</w:t>
      </w:r>
      <w:r w:rsidR="00C005CD">
        <w:t xml:space="preserve"> (Table 1). No conclusions can be drawn regarding management of disease because of t</w:t>
      </w:r>
      <w:r w:rsidR="003927DB" w:rsidRPr="00FB15ED">
        <w:t xml:space="preserve">he </w:t>
      </w:r>
      <w:r w:rsidR="00C005CD">
        <w:t xml:space="preserve">low </w:t>
      </w:r>
      <w:r w:rsidR="00C005CD">
        <w:lastRenderedPageBreak/>
        <w:t xml:space="preserve">levels of </w:t>
      </w:r>
      <w:r w:rsidR="003927DB" w:rsidRPr="00FB15ED">
        <w:t xml:space="preserve">bacterial wilt and </w:t>
      </w:r>
      <w:r w:rsidR="00C005CD">
        <w:t xml:space="preserve">cucumber beetle </w:t>
      </w:r>
      <w:r w:rsidR="003927DB" w:rsidRPr="00FB15ED">
        <w:t>pressure</w:t>
      </w:r>
      <w:r w:rsidR="00C005CD">
        <w:t>.</w:t>
      </w:r>
    </w:p>
    <w:p w:rsidR="003F0F08" w:rsidRDefault="00DE6F70" w:rsidP="00533A38">
      <w:r>
        <w:t xml:space="preserve">At Turtle Farm poor seed germination, a </w:t>
      </w:r>
      <w:r w:rsidR="003927DB">
        <w:t>delayed planting</w:t>
      </w:r>
      <w:r>
        <w:t xml:space="preserve"> date</w:t>
      </w:r>
      <w:r w:rsidR="003927DB">
        <w:t>, and extremely</w:t>
      </w:r>
      <w:r>
        <w:t xml:space="preserve"> high temperatures in </w:t>
      </w:r>
      <w:r w:rsidR="003927DB">
        <w:t>August may</w:t>
      </w:r>
      <w:r>
        <w:t xml:space="preserve"> have prevented meaningful comparisons of the </w:t>
      </w:r>
      <w:r w:rsidR="003927DB">
        <w:t>poor squash</w:t>
      </w:r>
      <w:r w:rsidR="003F0F08">
        <w:t xml:space="preserve"> </w:t>
      </w:r>
      <w:r>
        <w:t>harvest, totaling 1.5 to 43 pounds</w:t>
      </w:r>
      <w:r w:rsidR="003F0F08">
        <w:t xml:space="preserve">. </w:t>
      </w:r>
    </w:p>
    <w:p w:rsidR="003F0F08" w:rsidRDefault="003F0F08" w:rsidP="00533A38"/>
    <w:p w:rsidR="004F32AC" w:rsidRPr="00FB15ED" w:rsidRDefault="00AD4338" w:rsidP="00533A38">
      <w:pPr>
        <w:rPr>
          <w:b/>
        </w:rPr>
      </w:pPr>
      <w:r w:rsidRPr="00FB15ED">
        <w:rPr>
          <w:b/>
        </w:rPr>
        <w:t>Acknowledgements</w:t>
      </w:r>
    </w:p>
    <w:p w:rsidR="00EC3686" w:rsidRPr="00FB15ED" w:rsidRDefault="00EC3686" w:rsidP="00EC3686">
      <w:r w:rsidRPr="00FB15ED">
        <w:t>Thanks to</w:t>
      </w:r>
      <w:r w:rsidR="00182210" w:rsidRPr="00FB15ED">
        <w:t xml:space="preserve"> </w:t>
      </w:r>
      <w:r w:rsidRPr="00FB15ED">
        <w:t>Angela Tedesco</w:t>
      </w:r>
      <w:r w:rsidR="00727D7F" w:rsidRPr="00FB15ED">
        <w:t>, Gary Guthrie, and Susan Jutz</w:t>
      </w:r>
      <w:r w:rsidR="0025643C" w:rsidRPr="00FB15ED">
        <w:t>,</w:t>
      </w:r>
      <w:r w:rsidR="00727D7F" w:rsidRPr="00FB15ED">
        <w:t xml:space="preserve"> who</w:t>
      </w:r>
      <w:r w:rsidRPr="00FB15ED">
        <w:t xml:space="preserve"> made this research possible.</w:t>
      </w:r>
    </w:p>
    <w:p w:rsidR="004558F3" w:rsidRPr="00FB15ED" w:rsidRDefault="004558F3" w:rsidP="00AD13AD"/>
    <w:p w:rsidR="00617B98" w:rsidRPr="00FB15ED" w:rsidRDefault="00617B98" w:rsidP="00AD13AD">
      <w:pPr>
        <w:sectPr w:rsidR="00617B98" w:rsidRPr="00FB15ED" w:rsidSect="00FD514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73EEE" w:rsidRDefault="00273EEE" w:rsidP="00EA73AF">
      <w:pPr>
        <w:rPr>
          <w:color w:val="000000"/>
        </w:rPr>
      </w:pPr>
    </w:p>
    <w:tbl>
      <w:tblPr>
        <w:tblStyle w:val="TableGrid"/>
        <w:tblpPr w:leftFromText="180" w:rightFromText="180" w:vertAnchor="text" w:horzAnchor="margin" w:tblpY="15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4"/>
        <w:gridCol w:w="968"/>
        <w:gridCol w:w="824"/>
        <w:gridCol w:w="384"/>
        <w:gridCol w:w="916"/>
        <w:gridCol w:w="780"/>
      </w:tblGrid>
      <w:tr w:rsidR="00CC3319" w:rsidRPr="007F2BBE" w:rsidTr="008867B1">
        <w:trPr>
          <w:trHeight w:val="300"/>
        </w:trPr>
        <w:tc>
          <w:tcPr>
            <w:tcW w:w="0" w:type="auto"/>
            <w:gridSpan w:val="6"/>
            <w:tcBorders>
              <w:top w:val="nil"/>
              <w:bottom w:val="single" w:sz="4" w:space="0" w:color="auto"/>
            </w:tcBorders>
          </w:tcPr>
          <w:p w:rsidR="00CC3319" w:rsidRPr="007F2BBE" w:rsidRDefault="00CC3319" w:rsidP="00F9187D">
            <w:pPr>
              <w:ind w:left="-90"/>
              <w:rPr>
                <w:b/>
                <w:sz w:val="20"/>
                <w:szCs w:val="20"/>
              </w:rPr>
            </w:pPr>
            <w:r w:rsidRPr="007F2BBE">
              <w:rPr>
                <w:rFonts w:ascii="Times New Roman" w:hAnsi="Times New Roman" w:cs="Times New Roman"/>
                <w:b/>
                <w:sz w:val="20"/>
                <w:szCs w:val="20"/>
              </w:rPr>
              <w:t>Table 1.</w:t>
            </w:r>
            <w:r w:rsidRPr="007F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Effect of row cover treatments </w:t>
            </w:r>
            <w:r w:rsidR="008867B1" w:rsidRPr="007F2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 early</w:t>
            </w:r>
            <w:r w:rsidRPr="007F2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transplant loss </w:t>
            </w:r>
            <w:r w:rsidR="008867B1" w:rsidRPr="007F2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 bacterial</w:t>
            </w:r>
            <w:r w:rsidRPr="007F2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wilt incidence at Growing Harmony (GH) and ZJ Farms (ZJ).</w:t>
            </w:r>
          </w:p>
        </w:tc>
      </w:tr>
      <w:tr w:rsidR="00CD4D08" w:rsidRPr="007F2BBE" w:rsidTr="00CD4D0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C3319" w:rsidRPr="007F2BBE" w:rsidRDefault="00CC3319" w:rsidP="0042144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319" w:rsidRPr="007F2BBE" w:rsidRDefault="00CC3319" w:rsidP="008867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Frost death (</w:t>
            </w:r>
            <w:r w:rsidR="008867B1" w:rsidRPr="007F2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percent</w:t>
            </w:r>
            <w:r w:rsidRPr="007F2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CC3319" w:rsidRPr="007F2BBE" w:rsidRDefault="00CC3319" w:rsidP="004214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4D08" w:rsidRPr="007F2BBE" w:rsidRDefault="00CC3319" w:rsidP="00CD4D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 wilt</w:t>
            </w:r>
          </w:p>
          <w:p w:rsidR="00CC3319" w:rsidRPr="007F2BBE" w:rsidRDefault="00CC3319" w:rsidP="008867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 w:rsidR="008867B1" w:rsidRPr="007F2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percent</w:t>
            </w:r>
            <w:r w:rsidRPr="007F2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D4D08" w:rsidRPr="007F2BBE" w:rsidTr="00CD4D08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</w:tcPr>
          <w:p w:rsidR="00CC3319" w:rsidRPr="007F2BBE" w:rsidRDefault="00CC3319" w:rsidP="00CC33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Treatments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C3319" w:rsidRPr="007F2BBE" w:rsidRDefault="00CC3319" w:rsidP="00CC33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GH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CC3319" w:rsidRPr="007F2BBE" w:rsidRDefault="00CC3319" w:rsidP="00CC33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ZJ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CC3319" w:rsidRPr="007F2BBE" w:rsidRDefault="00CC3319" w:rsidP="00CC33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C3319" w:rsidRPr="007F2BBE" w:rsidRDefault="00CC3319" w:rsidP="00CC33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GH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C3319" w:rsidRPr="007F2BBE" w:rsidRDefault="00CC3319" w:rsidP="00CC33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ZJ</w:t>
            </w:r>
          </w:p>
        </w:tc>
      </w:tr>
      <w:tr w:rsidR="00CD4D08" w:rsidRPr="007F2BBE" w:rsidTr="00CD4D08">
        <w:trPr>
          <w:trHeight w:val="300"/>
        </w:trPr>
        <w:tc>
          <w:tcPr>
            <w:tcW w:w="0" w:type="auto"/>
            <w:tcBorders>
              <w:top w:val="nil"/>
            </w:tcBorders>
          </w:tcPr>
          <w:p w:rsidR="00CC3319" w:rsidRPr="007F2BBE" w:rsidRDefault="00CC3319" w:rsidP="004214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row cover</w:t>
            </w:r>
          </w:p>
        </w:tc>
        <w:tc>
          <w:tcPr>
            <w:tcW w:w="0" w:type="auto"/>
          </w:tcPr>
          <w:p w:rsidR="00CC3319" w:rsidRPr="007F2BBE" w:rsidRDefault="00CC3319" w:rsidP="00CC3319">
            <w:pPr>
              <w:jc w:val="center"/>
              <w:rPr>
                <w:color w:val="000000"/>
                <w:sz w:val="20"/>
                <w:szCs w:val="20"/>
              </w:rPr>
            </w:pPr>
            <w:r w:rsidRPr="007F2B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CC3319" w:rsidRPr="007F2BBE" w:rsidRDefault="00CC3319" w:rsidP="00CC3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CC3319" w:rsidRPr="007F2BBE" w:rsidRDefault="00CC3319" w:rsidP="00421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CC3319" w:rsidRPr="007F2BBE" w:rsidRDefault="00CC3319" w:rsidP="0042144F">
            <w:pPr>
              <w:jc w:val="center"/>
              <w:rPr>
                <w:color w:val="000000"/>
                <w:sz w:val="20"/>
                <w:szCs w:val="20"/>
              </w:rPr>
            </w:pPr>
            <w:r w:rsidRPr="007F2B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CC3319" w:rsidRPr="007F2BBE" w:rsidRDefault="00CC3319" w:rsidP="0042144F">
            <w:pPr>
              <w:jc w:val="center"/>
              <w:rPr>
                <w:color w:val="000000"/>
                <w:sz w:val="20"/>
                <w:szCs w:val="20"/>
              </w:rPr>
            </w:pPr>
            <w:r w:rsidRPr="007F2B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4D08" w:rsidRPr="007F2BBE" w:rsidTr="00CD4D08">
        <w:trPr>
          <w:trHeight w:val="300"/>
        </w:trPr>
        <w:tc>
          <w:tcPr>
            <w:tcW w:w="0" w:type="auto"/>
            <w:tcBorders>
              <w:bottom w:val="nil"/>
            </w:tcBorders>
          </w:tcPr>
          <w:p w:rsidR="00CC3319" w:rsidRPr="007F2BBE" w:rsidRDefault="00CC3319" w:rsidP="004214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Row cover removed at anthesis</w:t>
            </w:r>
          </w:p>
        </w:tc>
        <w:tc>
          <w:tcPr>
            <w:tcW w:w="0" w:type="auto"/>
            <w:tcBorders>
              <w:bottom w:val="nil"/>
            </w:tcBorders>
          </w:tcPr>
          <w:p w:rsidR="00CC3319" w:rsidRPr="007F2BBE" w:rsidRDefault="00CC3319" w:rsidP="00CC3319">
            <w:pPr>
              <w:jc w:val="center"/>
              <w:rPr>
                <w:color w:val="000000"/>
                <w:sz w:val="20"/>
                <w:szCs w:val="20"/>
              </w:rPr>
            </w:pPr>
            <w:r w:rsidRPr="007F2B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noWrap/>
          </w:tcPr>
          <w:p w:rsidR="00CC3319" w:rsidRPr="007F2BBE" w:rsidRDefault="00CC3319" w:rsidP="00CC3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CC3319" w:rsidRPr="007F2BBE" w:rsidRDefault="00CC3319" w:rsidP="00421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CC3319" w:rsidRPr="007F2BBE" w:rsidRDefault="00CC3319" w:rsidP="0042144F">
            <w:pPr>
              <w:jc w:val="center"/>
              <w:rPr>
                <w:color w:val="000000"/>
                <w:sz w:val="20"/>
                <w:szCs w:val="20"/>
              </w:rPr>
            </w:pPr>
            <w:r w:rsidRPr="007F2B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</w:tcPr>
          <w:p w:rsidR="00CC3319" w:rsidRPr="007F2BBE" w:rsidRDefault="00CC3319" w:rsidP="0042144F">
            <w:pPr>
              <w:jc w:val="center"/>
              <w:rPr>
                <w:color w:val="000000"/>
                <w:sz w:val="20"/>
                <w:szCs w:val="20"/>
              </w:rPr>
            </w:pPr>
            <w:r w:rsidRPr="007F2B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4D08" w:rsidRPr="007F2BBE" w:rsidTr="00CD4D08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C3319" w:rsidRPr="007F2BBE" w:rsidRDefault="00CC3319" w:rsidP="004214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Row cover removed 10 days after anthesis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C3319" w:rsidRPr="007F2BBE" w:rsidRDefault="00CC3319" w:rsidP="00CC3319">
            <w:pPr>
              <w:jc w:val="center"/>
              <w:rPr>
                <w:color w:val="000000"/>
                <w:sz w:val="20"/>
                <w:szCs w:val="20"/>
              </w:rPr>
            </w:pPr>
            <w:r w:rsidRPr="007F2B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</w:tcPr>
          <w:p w:rsidR="00CC3319" w:rsidRPr="007F2BBE" w:rsidRDefault="00CC3319" w:rsidP="00CC3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</w:tcPr>
          <w:p w:rsidR="00CC3319" w:rsidRPr="007F2BBE" w:rsidRDefault="00CC3319" w:rsidP="00421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C3319" w:rsidRPr="007F2BBE" w:rsidRDefault="00CC3319" w:rsidP="0042144F">
            <w:pPr>
              <w:jc w:val="center"/>
              <w:rPr>
                <w:color w:val="000000"/>
                <w:sz w:val="20"/>
                <w:szCs w:val="20"/>
              </w:rPr>
            </w:pPr>
            <w:r w:rsidRPr="007F2B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C3319" w:rsidRPr="007F2BBE" w:rsidRDefault="00CC3319" w:rsidP="0042144F">
            <w:pPr>
              <w:jc w:val="center"/>
              <w:rPr>
                <w:color w:val="000000"/>
                <w:sz w:val="20"/>
                <w:szCs w:val="20"/>
              </w:rPr>
            </w:pPr>
            <w:r w:rsidRPr="007F2BB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73EEE" w:rsidRDefault="00974AB1" w:rsidP="004B0991">
      <w:pPr>
        <w:ind w:left="-9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1771015</wp:posOffset>
            </wp:positionV>
            <wp:extent cx="3004185" cy="2990850"/>
            <wp:effectExtent l="0" t="0" r="0" b="0"/>
            <wp:wrapTight wrapText="bothSides">
              <wp:wrapPolygon edited="0">
                <wp:start x="2055" y="3577"/>
                <wp:lineTo x="2055" y="4403"/>
                <wp:lineTo x="13697" y="6054"/>
                <wp:lineTo x="2192" y="6329"/>
                <wp:lineTo x="2192" y="7017"/>
                <wp:lineTo x="10821" y="8255"/>
                <wp:lineTo x="2192" y="9080"/>
                <wp:lineTo x="2192" y="9768"/>
                <wp:lineTo x="10821" y="10456"/>
                <wp:lineTo x="2192" y="11694"/>
                <wp:lineTo x="2192" y="12382"/>
                <wp:lineTo x="13286" y="12657"/>
                <wp:lineTo x="2602" y="14446"/>
                <wp:lineTo x="2739" y="15134"/>
                <wp:lineTo x="6164" y="17060"/>
                <wp:lineTo x="3150" y="17060"/>
                <wp:lineTo x="3013" y="17748"/>
                <wp:lineTo x="5753" y="19261"/>
                <wp:lineTo x="5753" y="20224"/>
                <wp:lineTo x="16847" y="20775"/>
                <wp:lineTo x="18080" y="20775"/>
                <wp:lineTo x="17943" y="19261"/>
                <wp:lineTo x="18491" y="18298"/>
                <wp:lineTo x="17806" y="18023"/>
                <wp:lineTo x="10821" y="17060"/>
                <wp:lineTo x="18765" y="16234"/>
                <wp:lineTo x="18765" y="15684"/>
                <wp:lineTo x="10821" y="14859"/>
                <wp:lineTo x="13971" y="14859"/>
                <wp:lineTo x="18217" y="13620"/>
                <wp:lineTo x="18217" y="12245"/>
                <wp:lineTo x="16436" y="11694"/>
                <wp:lineTo x="10821" y="10456"/>
                <wp:lineTo x="10821" y="8255"/>
                <wp:lineTo x="12053" y="8255"/>
                <wp:lineTo x="17943" y="6466"/>
                <wp:lineTo x="18217" y="6054"/>
                <wp:lineTo x="3972" y="3577"/>
                <wp:lineTo x="2055" y="3577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873828" cy="3357154"/>
            <wp:effectExtent l="0" t="0" r="317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B19FA" w:rsidRPr="00FB15ED" w:rsidRDefault="000B19FA" w:rsidP="000B19FA">
      <w:pPr>
        <w:rPr>
          <w:b/>
        </w:rPr>
      </w:pPr>
    </w:p>
    <w:p w:rsidR="00224010" w:rsidRPr="007D2A71" w:rsidRDefault="000048E8" w:rsidP="000048E8">
      <w:r>
        <w:rPr>
          <w:b/>
        </w:rPr>
        <w:t xml:space="preserve">Figure 1. </w:t>
      </w:r>
      <w:bookmarkStart w:id="0" w:name="_GoBack"/>
      <w:r w:rsidRPr="007D2A71">
        <w:t xml:space="preserve">Cumulative muskmelon </w:t>
      </w:r>
      <w:r w:rsidR="008867B1" w:rsidRPr="007D2A71">
        <w:t xml:space="preserve">yield at each </w:t>
      </w:r>
      <w:r w:rsidRPr="007D2A71">
        <w:t>harvest from</w:t>
      </w:r>
      <w:r w:rsidR="00C005CD" w:rsidRPr="007D2A71">
        <w:t xml:space="preserve"> 30 ft plots with three </w:t>
      </w:r>
      <w:r w:rsidRPr="007D2A71">
        <w:t>row cover treatments at two cooperator farms</w:t>
      </w:r>
      <w:bookmarkEnd w:id="0"/>
    </w:p>
    <w:sectPr w:rsidR="00224010" w:rsidRPr="007D2A71" w:rsidSect="00FD514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9547D"/>
    <w:multiLevelType w:val="hybridMultilevel"/>
    <w:tmpl w:val="BC02126E"/>
    <w:lvl w:ilvl="0" w:tplc="844013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D2B91"/>
    <w:multiLevelType w:val="hybridMultilevel"/>
    <w:tmpl w:val="5164F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8238F1"/>
    <w:rsid w:val="000028E1"/>
    <w:rsid w:val="000048E8"/>
    <w:rsid w:val="000057CA"/>
    <w:rsid w:val="00014C11"/>
    <w:rsid w:val="0005698D"/>
    <w:rsid w:val="0006583A"/>
    <w:rsid w:val="000817C4"/>
    <w:rsid w:val="000B19FA"/>
    <w:rsid w:val="000D07C0"/>
    <w:rsid w:val="000D1B1A"/>
    <w:rsid w:val="000D3B49"/>
    <w:rsid w:val="000E18BE"/>
    <w:rsid w:val="001002A3"/>
    <w:rsid w:val="00131886"/>
    <w:rsid w:val="00165AC4"/>
    <w:rsid w:val="00182210"/>
    <w:rsid w:val="001865D7"/>
    <w:rsid w:val="00192EFB"/>
    <w:rsid w:val="001A50B7"/>
    <w:rsid w:val="001B240D"/>
    <w:rsid w:val="001B27B4"/>
    <w:rsid w:val="001C08A2"/>
    <w:rsid w:val="001C62B7"/>
    <w:rsid w:val="001D3F16"/>
    <w:rsid w:val="001E7DF6"/>
    <w:rsid w:val="00205523"/>
    <w:rsid w:val="00213DE3"/>
    <w:rsid w:val="00224010"/>
    <w:rsid w:val="00226DAC"/>
    <w:rsid w:val="00232B66"/>
    <w:rsid w:val="0025643C"/>
    <w:rsid w:val="0027127C"/>
    <w:rsid w:val="00273EEE"/>
    <w:rsid w:val="00275EDE"/>
    <w:rsid w:val="002A4EB3"/>
    <w:rsid w:val="002B01BD"/>
    <w:rsid w:val="002D6B53"/>
    <w:rsid w:val="00303E5A"/>
    <w:rsid w:val="00330710"/>
    <w:rsid w:val="0034590B"/>
    <w:rsid w:val="003512E2"/>
    <w:rsid w:val="00365881"/>
    <w:rsid w:val="003678A3"/>
    <w:rsid w:val="003927DB"/>
    <w:rsid w:val="003A27A2"/>
    <w:rsid w:val="003A7620"/>
    <w:rsid w:val="003B7C05"/>
    <w:rsid w:val="003C69EF"/>
    <w:rsid w:val="003E5017"/>
    <w:rsid w:val="003F0F08"/>
    <w:rsid w:val="003F34C6"/>
    <w:rsid w:val="003F6865"/>
    <w:rsid w:val="00413251"/>
    <w:rsid w:val="0042144F"/>
    <w:rsid w:val="004420B6"/>
    <w:rsid w:val="0044607B"/>
    <w:rsid w:val="004558F3"/>
    <w:rsid w:val="0047184A"/>
    <w:rsid w:val="00481F24"/>
    <w:rsid w:val="00483E5F"/>
    <w:rsid w:val="004969A3"/>
    <w:rsid w:val="004A655A"/>
    <w:rsid w:val="004A717E"/>
    <w:rsid w:val="004B0991"/>
    <w:rsid w:val="004C46FC"/>
    <w:rsid w:val="004C60AC"/>
    <w:rsid w:val="004D19EC"/>
    <w:rsid w:val="004D48CD"/>
    <w:rsid w:val="004F32AC"/>
    <w:rsid w:val="005126BA"/>
    <w:rsid w:val="00533A38"/>
    <w:rsid w:val="00535549"/>
    <w:rsid w:val="00546B3E"/>
    <w:rsid w:val="00554986"/>
    <w:rsid w:val="00572957"/>
    <w:rsid w:val="0057304D"/>
    <w:rsid w:val="005869A1"/>
    <w:rsid w:val="0058767D"/>
    <w:rsid w:val="005E2226"/>
    <w:rsid w:val="005E72D3"/>
    <w:rsid w:val="00611551"/>
    <w:rsid w:val="00617B98"/>
    <w:rsid w:val="00617FDB"/>
    <w:rsid w:val="0063143C"/>
    <w:rsid w:val="006317AA"/>
    <w:rsid w:val="00633E86"/>
    <w:rsid w:val="00644588"/>
    <w:rsid w:val="00666AD2"/>
    <w:rsid w:val="00671F46"/>
    <w:rsid w:val="0067319A"/>
    <w:rsid w:val="00685EF8"/>
    <w:rsid w:val="0069296D"/>
    <w:rsid w:val="006E596C"/>
    <w:rsid w:val="00707B98"/>
    <w:rsid w:val="00713957"/>
    <w:rsid w:val="00727D7F"/>
    <w:rsid w:val="007474AD"/>
    <w:rsid w:val="0079578A"/>
    <w:rsid w:val="007C5DCD"/>
    <w:rsid w:val="007D2A71"/>
    <w:rsid w:val="007E692A"/>
    <w:rsid w:val="007F2BBE"/>
    <w:rsid w:val="007F459E"/>
    <w:rsid w:val="008238F1"/>
    <w:rsid w:val="008321D1"/>
    <w:rsid w:val="00840295"/>
    <w:rsid w:val="00853FC0"/>
    <w:rsid w:val="00870FE7"/>
    <w:rsid w:val="008867B1"/>
    <w:rsid w:val="008927C3"/>
    <w:rsid w:val="00894417"/>
    <w:rsid w:val="0089639C"/>
    <w:rsid w:val="008A017A"/>
    <w:rsid w:val="008C183C"/>
    <w:rsid w:val="008C35D5"/>
    <w:rsid w:val="008F1FA0"/>
    <w:rsid w:val="008F62C0"/>
    <w:rsid w:val="009022B3"/>
    <w:rsid w:val="009047EE"/>
    <w:rsid w:val="00915E50"/>
    <w:rsid w:val="00951AED"/>
    <w:rsid w:val="00974AB1"/>
    <w:rsid w:val="009804BD"/>
    <w:rsid w:val="009A30D7"/>
    <w:rsid w:val="009B6706"/>
    <w:rsid w:val="009D667D"/>
    <w:rsid w:val="00A05322"/>
    <w:rsid w:val="00A4031F"/>
    <w:rsid w:val="00A555ED"/>
    <w:rsid w:val="00AD13AD"/>
    <w:rsid w:val="00AD4338"/>
    <w:rsid w:val="00AE0D77"/>
    <w:rsid w:val="00AE190F"/>
    <w:rsid w:val="00B049CB"/>
    <w:rsid w:val="00B24082"/>
    <w:rsid w:val="00B40E18"/>
    <w:rsid w:val="00B45C48"/>
    <w:rsid w:val="00B62A6D"/>
    <w:rsid w:val="00B86E81"/>
    <w:rsid w:val="00BD0808"/>
    <w:rsid w:val="00C005CD"/>
    <w:rsid w:val="00C06866"/>
    <w:rsid w:val="00C17FA5"/>
    <w:rsid w:val="00C33222"/>
    <w:rsid w:val="00C350FF"/>
    <w:rsid w:val="00C51C07"/>
    <w:rsid w:val="00C53BDF"/>
    <w:rsid w:val="00C81B9D"/>
    <w:rsid w:val="00C8231D"/>
    <w:rsid w:val="00CB07B7"/>
    <w:rsid w:val="00CB4D26"/>
    <w:rsid w:val="00CB5B01"/>
    <w:rsid w:val="00CC3319"/>
    <w:rsid w:val="00CD4D08"/>
    <w:rsid w:val="00CD5BEF"/>
    <w:rsid w:val="00CE7194"/>
    <w:rsid w:val="00CF2E9E"/>
    <w:rsid w:val="00CF45DE"/>
    <w:rsid w:val="00D03CB7"/>
    <w:rsid w:val="00D245F2"/>
    <w:rsid w:val="00D32F98"/>
    <w:rsid w:val="00D401D3"/>
    <w:rsid w:val="00D56EEC"/>
    <w:rsid w:val="00DC212B"/>
    <w:rsid w:val="00DD5C2E"/>
    <w:rsid w:val="00DE154E"/>
    <w:rsid w:val="00DE6F70"/>
    <w:rsid w:val="00E356AF"/>
    <w:rsid w:val="00E71D54"/>
    <w:rsid w:val="00E94F7E"/>
    <w:rsid w:val="00EA73AF"/>
    <w:rsid w:val="00EC3686"/>
    <w:rsid w:val="00ED65DC"/>
    <w:rsid w:val="00ED6C44"/>
    <w:rsid w:val="00EF2BEB"/>
    <w:rsid w:val="00F25B01"/>
    <w:rsid w:val="00F65D9A"/>
    <w:rsid w:val="00F70479"/>
    <w:rsid w:val="00F9187D"/>
    <w:rsid w:val="00FA28DA"/>
    <w:rsid w:val="00FA50A8"/>
    <w:rsid w:val="00FB15ED"/>
    <w:rsid w:val="00FB37B1"/>
    <w:rsid w:val="00FC7E0E"/>
    <w:rsid w:val="00FD16FE"/>
    <w:rsid w:val="00FD5140"/>
    <w:rsid w:val="00FF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7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cia">
    <w:name w:val="Alicia"/>
    <w:basedOn w:val="Normal"/>
    <w:next w:val="Normal"/>
    <w:rsid w:val="00232B66"/>
    <w:pPr>
      <w:pBdr>
        <w:bottom w:val="double" w:sz="4" w:space="1" w:color="336600"/>
      </w:pBdr>
      <w:spacing w:after="60"/>
      <w:jc w:val="right"/>
    </w:pPr>
    <w:rPr>
      <w:rFonts w:ascii="Garamond" w:hAnsi="Garamond"/>
      <w:b/>
      <w:sz w:val="40"/>
    </w:rPr>
  </w:style>
  <w:style w:type="paragraph" w:customStyle="1" w:styleId="Contact">
    <w:name w:val="Contact"/>
    <w:basedOn w:val="Normal"/>
    <w:rsid w:val="00232B66"/>
    <w:pPr>
      <w:jc w:val="right"/>
    </w:pPr>
    <w:rPr>
      <w:rFonts w:ascii="Garamond" w:hAnsi="Garamond"/>
      <w:i/>
      <w:sz w:val="26"/>
    </w:rPr>
  </w:style>
  <w:style w:type="paragraph" w:styleId="Bibliography">
    <w:name w:val="Bibliography"/>
    <w:basedOn w:val="Normal"/>
    <w:rsid w:val="005E2226"/>
    <w:pPr>
      <w:spacing w:after="60"/>
      <w:ind w:left="720" w:hanging="720"/>
    </w:pPr>
    <w:rPr>
      <w:sz w:val="22"/>
      <w:szCs w:val="22"/>
    </w:rPr>
  </w:style>
  <w:style w:type="paragraph" w:styleId="ListParagraph">
    <w:name w:val="List Paragraph"/>
    <w:basedOn w:val="Normal"/>
    <w:qFormat/>
    <w:rsid w:val="00671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8ptBoldCentered">
    <w:name w:val="Style 18 pt Bold Centered"/>
    <w:basedOn w:val="Normal"/>
    <w:rsid w:val="00840295"/>
    <w:pPr>
      <w:spacing w:after="360"/>
      <w:jc w:val="center"/>
    </w:pPr>
    <w:rPr>
      <w:b/>
      <w:bCs/>
      <w:sz w:val="36"/>
      <w:szCs w:val="20"/>
    </w:rPr>
  </w:style>
  <w:style w:type="paragraph" w:styleId="BalloonText">
    <w:name w:val="Balloon Text"/>
    <w:basedOn w:val="Normal"/>
    <w:link w:val="BalloonTextChar"/>
    <w:rsid w:val="00182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22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099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B01BD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7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cia">
    <w:name w:val="Alicia"/>
    <w:basedOn w:val="Normal"/>
    <w:next w:val="Normal"/>
    <w:rsid w:val="00232B66"/>
    <w:pPr>
      <w:pBdr>
        <w:bottom w:val="double" w:sz="4" w:space="1" w:color="336600"/>
      </w:pBdr>
      <w:spacing w:after="60"/>
      <w:jc w:val="right"/>
    </w:pPr>
    <w:rPr>
      <w:rFonts w:ascii="Garamond" w:hAnsi="Garamond"/>
      <w:b/>
      <w:sz w:val="40"/>
    </w:rPr>
  </w:style>
  <w:style w:type="paragraph" w:customStyle="1" w:styleId="Contact">
    <w:name w:val="Contact"/>
    <w:basedOn w:val="Normal"/>
    <w:rsid w:val="00232B66"/>
    <w:pPr>
      <w:jc w:val="right"/>
    </w:pPr>
    <w:rPr>
      <w:rFonts w:ascii="Garamond" w:hAnsi="Garamond"/>
      <w:i/>
      <w:sz w:val="26"/>
    </w:rPr>
  </w:style>
  <w:style w:type="paragraph" w:styleId="Bibliography">
    <w:name w:val="Bibliography"/>
    <w:basedOn w:val="Normal"/>
    <w:rsid w:val="005E2226"/>
    <w:pPr>
      <w:spacing w:after="60"/>
      <w:ind w:left="720" w:hanging="720"/>
    </w:pPr>
    <w:rPr>
      <w:sz w:val="22"/>
      <w:szCs w:val="22"/>
    </w:rPr>
  </w:style>
  <w:style w:type="paragraph" w:styleId="ListParagraph">
    <w:name w:val="List Paragraph"/>
    <w:basedOn w:val="Normal"/>
    <w:qFormat/>
    <w:rsid w:val="00671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8ptBoldCentered">
    <w:name w:val="Style 18 pt Bold Centered"/>
    <w:basedOn w:val="Normal"/>
    <w:rsid w:val="00840295"/>
    <w:pPr>
      <w:spacing w:after="360"/>
      <w:jc w:val="center"/>
    </w:pPr>
    <w:rPr>
      <w:b/>
      <w:bCs/>
      <w:sz w:val="36"/>
      <w:szCs w:val="20"/>
    </w:rPr>
  </w:style>
  <w:style w:type="paragraph" w:styleId="BalloonText">
    <w:name w:val="Balloon Text"/>
    <w:basedOn w:val="Normal"/>
    <w:link w:val="BalloonTextChar"/>
    <w:rsid w:val="00182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22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099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B01B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jbatzer\Documents\aaGleason%20Lab\Projects\active%20projects\Bacterial%20wilt%20-%20Beetle%20Project\2011\farmer%20cooperator%20trials\harvest%20data%20cooperator%20trials%20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1388329946391454"/>
          <c:y val="0.19093000317635464"/>
          <c:w val="0.6849684689857648"/>
          <c:h val="0.62381296287008714"/>
        </c:manualLayout>
      </c:layout>
      <c:lineChart>
        <c:grouping val="standard"/>
        <c:ser>
          <c:idx val="0"/>
          <c:order val="0"/>
          <c:tx>
            <c:strRef>
              <c:f>'susan jutz'!$I$3</c:f>
              <c:strCache>
                <c:ptCount val="1"/>
                <c:pt idx="0">
                  <c:v>OPEN ENDS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triang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'susan jutz'!$A$2:$A$5</c:f>
              <c:numCache>
                <c:formatCode>d\-mmm</c:formatCode>
                <c:ptCount val="4"/>
                <c:pt idx="0">
                  <c:v>40756</c:v>
                </c:pt>
                <c:pt idx="1">
                  <c:v>40758</c:v>
                </c:pt>
                <c:pt idx="2">
                  <c:v>40763</c:v>
                </c:pt>
                <c:pt idx="3">
                  <c:v>40766</c:v>
                </c:pt>
              </c:numCache>
            </c:numRef>
          </c:cat>
          <c:val>
            <c:numRef>
              <c:f>'susan jutz'!$K$2:$K$5</c:f>
              <c:numCache>
                <c:formatCode>General</c:formatCode>
                <c:ptCount val="4"/>
                <c:pt idx="0">
                  <c:v>0</c:v>
                </c:pt>
                <c:pt idx="1">
                  <c:v>41</c:v>
                </c:pt>
                <c:pt idx="2">
                  <c:v>96</c:v>
                </c:pt>
                <c:pt idx="3">
                  <c:v>96</c:v>
                </c:pt>
              </c:numCache>
            </c:numRef>
          </c:val>
        </c:ser>
        <c:ser>
          <c:idx val="1"/>
          <c:order val="1"/>
          <c:tx>
            <c:strRef>
              <c:f>'susan jutz'!$E$1</c:f>
              <c:strCache>
                <c:ptCount val="1"/>
                <c:pt idx="0">
                  <c:v>NRC</c:v>
                </c:pt>
              </c:strCache>
            </c:strRef>
          </c:tx>
          <c:spPr>
            <a:ln>
              <a:solidFill>
                <a:schemeClr val="tx1"/>
              </a:solidFill>
              <a:prstDash val="sysDot"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'susan jutz'!$A$2:$A$5</c:f>
              <c:numCache>
                <c:formatCode>d\-mmm</c:formatCode>
                <c:ptCount val="4"/>
                <c:pt idx="0">
                  <c:v>40756</c:v>
                </c:pt>
                <c:pt idx="1">
                  <c:v>40758</c:v>
                </c:pt>
                <c:pt idx="2">
                  <c:v>40763</c:v>
                </c:pt>
                <c:pt idx="3">
                  <c:v>40766</c:v>
                </c:pt>
              </c:numCache>
            </c:numRef>
          </c:cat>
          <c:val>
            <c:numRef>
              <c:f>'susan jutz'!$G$2:$G$5</c:f>
              <c:numCache>
                <c:formatCode>General</c:formatCode>
                <c:ptCount val="4"/>
                <c:pt idx="0">
                  <c:v>0</c:v>
                </c:pt>
                <c:pt idx="1">
                  <c:v>57</c:v>
                </c:pt>
                <c:pt idx="2">
                  <c:v>80</c:v>
                </c:pt>
                <c:pt idx="3">
                  <c:v>80</c:v>
                </c:pt>
              </c:numCache>
            </c:numRef>
          </c:val>
        </c:ser>
        <c:ser>
          <c:idx val="2"/>
          <c:order val="2"/>
          <c:tx>
            <c:strRef>
              <c:f>'susan jutz'!$B$2</c:f>
              <c:strCache>
                <c:ptCount val="1"/>
                <c:pt idx="0">
                  <c:v>ANTHESIS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'susan jutz'!$A$2:$A$5</c:f>
              <c:numCache>
                <c:formatCode>d\-mmm</c:formatCode>
                <c:ptCount val="4"/>
                <c:pt idx="0">
                  <c:v>40756</c:v>
                </c:pt>
                <c:pt idx="1">
                  <c:v>40758</c:v>
                </c:pt>
                <c:pt idx="2">
                  <c:v>40763</c:v>
                </c:pt>
                <c:pt idx="3">
                  <c:v>40766</c:v>
                </c:pt>
              </c:numCache>
            </c:numRef>
          </c:cat>
          <c:val>
            <c:numRef>
              <c:f>'susan jutz'!$D$2:$D$5</c:f>
              <c:numCache>
                <c:formatCode>General</c:formatCode>
                <c:ptCount val="4"/>
                <c:pt idx="0">
                  <c:v>12.8</c:v>
                </c:pt>
                <c:pt idx="1">
                  <c:v>146.30000000000001</c:v>
                </c:pt>
                <c:pt idx="2">
                  <c:v>203.8</c:v>
                </c:pt>
                <c:pt idx="3">
                  <c:v>207.8</c:v>
                </c:pt>
              </c:numCache>
            </c:numRef>
          </c:val>
        </c:ser>
        <c:marker val="1"/>
        <c:axId val="108174720"/>
        <c:axId val="108184704"/>
      </c:lineChart>
      <c:catAx>
        <c:axId val="108174720"/>
        <c:scaling>
          <c:orientation val="minMax"/>
        </c:scaling>
        <c:axPos val="b"/>
        <c:numFmt formatCode="d\-mmm" sourceLinked="1"/>
        <c:tickLblPos val="nextTo"/>
        <c:txPr>
          <a:bodyPr rot="-5400000"/>
          <a:lstStyle/>
          <a:p>
            <a:pPr>
              <a:defRPr/>
            </a:pPr>
            <a:endParaRPr lang="en-US"/>
          </a:p>
        </c:txPr>
        <c:crossAx val="108184704"/>
        <c:crosses val="autoZero"/>
        <c:lblAlgn val="ctr"/>
        <c:lblOffset val="100"/>
        <c:noMultiLvlLbl val="1"/>
      </c:catAx>
      <c:valAx>
        <c:axId val="108184704"/>
        <c:scaling>
          <c:orientation val="minMax"/>
        </c:scaling>
        <c:axPos val="l"/>
        <c:numFmt formatCode="General" sourceLinked="1"/>
        <c:tickLblPos val="nextTo"/>
        <c:crossAx val="10817472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23924783732032634"/>
          <c:y val="0.14539222608524674"/>
          <c:w val="0.74029408821375664"/>
          <c:h val="0.66956922440853195"/>
        </c:manualLayout>
      </c:layout>
      <c:lineChart>
        <c:grouping val="standard"/>
        <c:ser>
          <c:idx val="0"/>
          <c:order val="0"/>
          <c:tx>
            <c:strRef>
              <c:f>'guthrie charts'!$L$57</c:f>
              <c:strCache>
                <c:ptCount val="1"/>
                <c:pt idx="0">
                  <c:v>OPEN ENDS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triang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'guthrie charts'!$V$56:$V$62</c:f>
              <c:numCache>
                <c:formatCode>[$-409]d\-mmm;@</c:formatCode>
                <c:ptCount val="7"/>
                <c:pt idx="0">
                  <c:v>40753</c:v>
                </c:pt>
                <c:pt idx="1">
                  <c:v>40756</c:v>
                </c:pt>
                <c:pt idx="2">
                  <c:v>40758</c:v>
                </c:pt>
                <c:pt idx="3">
                  <c:v>40760</c:v>
                </c:pt>
                <c:pt idx="4">
                  <c:v>40763</c:v>
                </c:pt>
                <c:pt idx="5">
                  <c:v>40766</c:v>
                </c:pt>
                <c:pt idx="6">
                  <c:v>40770</c:v>
                </c:pt>
              </c:numCache>
            </c:numRef>
          </c:cat>
          <c:val>
            <c:numRef>
              <c:f>'guthrie charts'!$N$56:$N$62</c:f>
              <c:numCache>
                <c:formatCode>General</c:formatCode>
                <c:ptCount val="7"/>
                <c:pt idx="0">
                  <c:v>0</c:v>
                </c:pt>
                <c:pt idx="1">
                  <c:v>11</c:v>
                </c:pt>
                <c:pt idx="2">
                  <c:v>45.875</c:v>
                </c:pt>
                <c:pt idx="3">
                  <c:v>86.25</c:v>
                </c:pt>
                <c:pt idx="4">
                  <c:v>168.875</c:v>
                </c:pt>
                <c:pt idx="5">
                  <c:v>212.5</c:v>
                </c:pt>
                <c:pt idx="6">
                  <c:v>212.5</c:v>
                </c:pt>
              </c:numCache>
            </c:numRef>
          </c:val>
        </c:ser>
        <c:ser>
          <c:idx val="1"/>
          <c:order val="1"/>
          <c:tx>
            <c:strRef>
              <c:f>'guthrie charts'!$Q$25</c:f>
              <c:strCache>
                <c:ptCount val="1"/>
                <c:pt idx="0">
                  <c:v>NRC</c:v>
                </c:pt>
              </c:strCache>
            </c:strRef>
          </c:tx>
          <c:spPr>
            <a:ln>
              <a:solidFill>
                <a:schemeClr val="tx1"/>
              </a:solidFill>
              <a:prstDash val="sysDot"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'guthrie charts'!$V$56:$V$62</c:f>
              <c:numCache>
                <c:formatCode>[$-409]d\-mmm;@</c:formatCode>
                <c:ptCount val="7"/>
                <c:pt idx="0">
                  <c:v>40753</c:v>
                </c:pt>
                <c:pt idx="1">
                  <c:v>40756</c:v>
                </c:pt>
                <c:pt idx="2">
                  <c:v>40758</c:v>
                </c:pt>
                <c:pt idx="3">
                  <c:v>40760</c:v>
                </c:pt>
                <c:pt idx="4">
                  <c:v>40763</c:v>
                </c:pt>
                <c:pt idx="5">
                  <c:v>40766</c:v>
                </c:pt>
                <c:pt idx="6">
                  <c:v>40770</c:v>
                </c:pt>
              </c:numCache>
            </c:numRef>
          </c:cat>
          <c:val>
            <c:numRef>
              <c:f>'guthrie charts'!$S$56:$S$62</c:f>
              <c:numCache>
                <c:formatCode>General</c:formatCode>
                <c:ptCount val="7"/>
                <c:pt idx="0">
                  <c:v>0</c:v>
                </c:pt>
                <c:pt idx="1">
                  <c:v>36.125000000000014</c:v>
                </c:pt>
                <c:pt idx="2">
                  <c:v>122.62499999999999</c:v>
                </c:pt>
                <c:pt idx="3">
                  <c:v>135</c:v>
                </c:pt>
                <c:pt idx="4">
                  <c:v>162</c:v>
                </c:pt>
                <c:pt idx="5">
                  <c:v>183.75</c:v>
                </c:pt>
                <c:pt idx="6">
                  <c:v>203.25</c:v>
                </c:pt>
              </c:numCache>
            </c:numRef>
          </c:val>
        </c:ser>
        <c:ser>
          <c:idx val="2"/>
          <c:order val="2"/>
          <c:tx>
            <c:strRef>
              <c:f>'guthrie charts'!$X$57</c:f>
              <c:strCache>
                <c:ptCount val="1"/>
                <c:pt idx="0">
                  <c:v>ANTHESIS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'guthrie charts'!$V$56:$V$62</c:f>
              <c:numCache>
                <c:formatCode>[$-409]d\-mmm;@</c:formatCode>
                <c:ptCount val="7"/>
                <c:pt idx="0">
                  <c:v>40753</c:v>
                </c:pt>
                <c:pt idx="1">
                  <c:v>40756</c:v>
                </c:pt>
                <c:pt idx="2">
                  <c:v>40758</c:v>
                </c:pt>
                <c:pt idx="3">
                  <c:v>40760</c:v>
                </c:pt>
                <c:pt idx="4">
                  <c:v>40763</c:v>
                </c:pt>
                <c:pt idx="5">
                  <c:v>40766</c:v>
                </c:pt>
                <c:pt idx="6">
                  <c:v>40770</c:v>
                </c:pt>
              </c:numCache>
            </c:numRef>
          </c:cat>
          <c:val>
            <c:numRef>
              <c:f>'guthrie charts'!$Z$56:$Z$62</c:f>
              <c:numCache>
                <c:formatCode>General</c:formatCode>
                <c:ptCount val="7"/>
                <c:pt idx="0">
                  <c:v>1.6300000000000001</c:v>
                </c:pt>
                <c:pt idx="1">
                  <c:v>89.254999999999995</c:v>
                </c:pt>
                <c:pt idx="2">
                  <c:v>158.13</c:v>
                </c:pt>
                <c:pt idx="3">
                  <c:v>174.88000000000005</c:v>
                </c:pt>
                <c:pt idx="4">
                  <c:v>191.255</c:v>
                </c:pt>
                <c:pt idx="5">
                  <c:v>222.005</c:v>
                </c:pt>
                <c:pt idx="6">
                  <c:v>258.755</c:v>
                </c:pt>
              </c:numCache>
            </c:numRef>
          </c:val>
        </c:ser>
        <c:marker val="1"/>
        <c:axId val="122242560"/>
        <c:axId val="122244096"/>
      </c:lineChart>
      <c:dateAx>
        <c:axId val="122242560"/>
        <c:scaling>
          <c:orientation val="minMax"/>
        </c:scaling>
        <c:axPos val="b"/>
        <c:numFmt formatCode="[$-409]d\-mmm;@" sourceLinked="1"/>
        <c:tickLblPos val="nextTo"/>
        <c:crossAx val="122244096"/>
        <c:crosses val="autoZero"/>
        <c:auto val="1"/>
        <c:lblOffset val="100"/>
        <c:baseTimeUnit val="days"/>
      </c:dateAx>
      <c:valAx>
        <c:axId val="12224409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Marketable</a:t>
                </a:r>
                <a:r>
                  <a:rPr lang="en-US" b="0" baseline="0"/>
                  <a:t> weight (lbs) </a:t>
                </a:r>
                <a:endParaRPr lang="en-US" b="0"/>
              </a:p>
            </c:rich>
          </c:tx>
        </c:title>
        <c:numFmt formatCode="General" sourceLinked="1"/>
        <c:tickLblPos val="nextTo"/>
        <c:crossAx val="122242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7245225562274334E-2"/>
          <c:y val="1.6829471127508898E-2"/>
          <c:w val="0.94550485056771238"/>
          <c:h val="0.13705589088640102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0.70441</cdr:x>
      <cdr:y>0.69445</cdr:y>
    </cdr:from>
    <cdr:to>
      <cdr:x>0.89573</cdr:x>
      <cdr:y>0.78617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116188" y="2076992"/>
          <a:ext cx="574761" cy="274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ZJ Farm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0.5709</cdr:x>
      <cdr:y>0.70375</cdr:y>
    </cdr:from>
    <cdr:to>
      <cdr:x>0.81995</cdr:x>
      <cdr:y>0.79428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946361" y="2362215"/>
          <a:ext cx="849090" cy="3038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Growing Harmony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Effectiveness of Extended Row Cover Periods in Muskmelons</vt:lpstr>
    </vt:vector>
  </TitlesOfParts>
  <Company>ISU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Effectiveness of Extended Row Cover Periods in Muskmelons</dc:title>
  <dc:creator>Alicia Owens</dc:creator>
  <cp:lastModifiedBy>Beth Nelson</cp:lastModifiedBy>
  <cp:revision>2</cp:revision>
  <cp:lastPrinted>2011-11-14T22:11:00Z</cp:lastPrinted>
  <dcterms:created xsi:type="dcterms:W3CDTF">2012-06-18T20:00:00Z</dcterms:created>
  <dcterms:modified xsi:type="dcterms:W3CDTF">2012-06-18T20:00:00Z</dcterms:modified>
</cp:coreProperties>
</file>