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298"/>
      </w:tblGrid>
      <w:tr w:rsidR="00D67906" w:rsidRPr="0051667B" w14:paraId="2A092DC3" w14:textId="77777777" w:rsidTr="00C667E9">
        <w:tc>
          <w:tcPr>
            <w:tcW w:w="9576" w:type="dxa"/>
            <w:gridSpan w:val="2"/>
            <w:tcBorders>
              <w:bottom w:val="double" w:sz="4" w:space="0" w:color="auto"/>
            </w:tcBorders>
          </w:tcPr>
          <w:p w14:paraId="2ADAE17C" w14:textId="77777777" w:rsidR="00D67906" w:rsidRPr="0051667B" w:rsidRDefault="00D67906" w:rsidP="00C667E9">
            <w:pPr>
              <w:contextualSpacing/>
              <w:jc w:val="both"/>
            </w:pPr>
            <w:r w:rsidRPr="00C8281C">
              <w:rPr>
                <w:b/>
              </w:rPr>
              <w:t xml:space="preserve">Table 1. </w:t>
            </w:r>
            <w:r w:rsidRPr="0051667B">
              <w:t xml:space="preserve"> Survey questions used to gauge incorporation of residual feed intake (</w:t>
            </w:r>
            <w:r w:rsidRPr="00C8281C">
              <w:rPr>
                <w:b/>
              </w:rPr>
              <w:t>RFI</w:t>
            </w:r>
            <w:r w:rsidRPr="0051667B">
              <w:t>) and technology into breeding programs.</w:t>
            </w:r>
            <w:r w:rsidRPr="0051667B">
              <w:rPr>
                <w:vertAlign w:val="superscript"/>
              </w:rPr>
              <w:t>1</w:t>
            </w:r>
            <w:r w:rsidRPr="0051667B">
              <w:t xml:space="preserve"> </w:t>
            </w:r>
          </w:p>
        </w:tc>
      </w:tr>
      <w:tr w:rsidR="00D67906" w:rsidRPr="0051667B" w14:paraId="7531441A" w14:textId="77777777" w:rsidTr="00C667E9">
        <w:tc>
          <w:tcPr>
            <w:tcW w:w="1278" w:type="dxa"/>
            <w:tcBorders>
              <w:top w:val="double" w:sz="4" w:space="0" w:color="auto"/>
              <w:bottom w:val="single" w:sz="4" w:space="0" w:color="auto"/>
            </w:tcBorders>
          </w:tcPr>
          <w:p w14:paraId="3D2D51E7" w14:textId="77777777" w:rsidR="00D67906" w:rsidRPr="0051667B" w:rsidRDefault="00D67906" w:rsidP="00C667E9">
            <w:pPr>
              <w:contextualSpacing/>
              <w:jc w:val="both"/>
              <w:rPr>
                <w:vertAlign w:val="superscript"/>
              </w:rPr>
            </w:pPr>
            <w:r w:rsidRPr="0051667B">
              <w:t>Number</w:t>
            </w:r>
            <w:r w:rsidRPr="0051667B">
              <w:rPr>
                <w:vertAlign w:val="superscript"/>
              </w:rPr>
              <w:t>2</w:t>
            </w:r>
          </w:p>
        </w:tc>
        <w:tc>
          <w:tcPr>
            <w:tcW w:w="8298" w:type="dxa"/>
            <w:tcBorders>
              <w:top w:val="double" w:sz="4" w:space="0" w:color="auto"/>
              <w:bottom w:val="single" w:sz="4" w:space="0" w:color="auto"/>
            </w:tcBorders>
          </w:tcPr>
          <w:p w14:paraId="0EABF060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Question</w:t>
            </w:r>
          </w:p>
        </w:tc>
      </w:tr>
      <w:tr w:rsidR="00D67906" w:rsidRPr="0051667B" w14:paraId="70568559" w14:textId="77777777" w:rsidTr="00C667E9">
        <w:tc>
          <w:tcPr>
            <w:tcW w:w="1278" w:type="dxa"/>
            <w:tcBorders>
              <w:top w:val="single" w:sz="4" w:space="0" w:color="auto"/>
            </w:tcBorders>
          </w:tcPr>
          <w:p w14:paraId="7E0E803E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1</w:t>
            </w:r>
          </w:p>
        </w:tc>
        <w:tc>
          <w:tcPr>
            <w:tcW w:w="8298" w:type="dxa"/>
            <w:tcBorders>
              <w:top w:val="single" w:sz="4" w:space="0" w:color="auto"/>
            </w:tcBorders>
          </w:tcPr>
          <w:p w14:paraId="0D5AD2D2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I currently have a selection program for feed efficiency. </w:t>
            </w:r>
          </w:p>
        </w:tc>
      </w:tr>
      <w:tr w:rsidR="00D67906" w:rsidRPr="0051667B" w14:paraId="02719259" w14:textId="77777777" w:rsidTr="00C667E9">
        <w:tc>
          <w:tcPr>
            <w:tcW w:w="1278" w:type="dxa"/>
          </w:tcPr>
          <w:p w14:paraId="424696FA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2</w:t>
            </w:r>
          </w:p>
        </w:tc>
        <w:tc>
          <w:tcPr>
            <w:tcW w:w="8298" w:type="dxa"/>
          </w:tcPr>
          <w:p w14:paraId="291AC12D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I select sires based on EPD information.</w:t>
            </w:r>
          </w:p>
        </w:tc>
      </w:tr>
      <w:tr w:rsidR="00D67906" w:rsidRPr="0051667B" w14:paraId="50E5AE41" w14:textId="77777777" w:rsidTr="00C667E9">
        <w:tc>
          <w:tcPr>
            <w:tcW w:w="1278" w:type="dxa"/>
          </w:tcPr>
          <w:p w14:paraId="5A08203F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3</w:t>
            </w:r>
          </w:p>
        </w:tc>
        <w:tc>
          <w:tcPr>
            <w:tcW w:w="8298" w:type="dxa"/>
          </w:tcPr>
          <w:p w14:paraId="04C9E869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I am knowledgeable about residual feed intake.  </w:t>
            </w:r>
          </w:p>
        </w:tc>
      </w:tr>
      <w:tr w:rsidR="00D67906" w:rsidRPr="0051667B" w14:paraId="11E7E05D" w14:textId="77777777" w:rsidTr="00C667E9">
        <w:tc>
          <w:tcPr>
            <w:tcW w:w="1278" w:type="dxa"/>
          </w:tcPr>
          <w:p w14:paraId="165AD09A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4</w:t>
            </w:r>
          </w:p>
        </w:tc>
        <w:tc>
          <w:tcPr>
            <w:tcW w:w="8298" w:type="dxa"/>
          </w:tcPr>
          <w:p w14:paraId="35016762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I would be interested in more information on residual feed intake.  </w:t>
            </w:r>
          </w:p>
        </w:tc>
      </w:tr>
      <w:tr w:rsidR="00D67906" w:rsidRPr="0051667B" w14:paraId="37EC5377" w14:textId="77777777" w:rsidTr="00C667E9">
        <w:tc>
          <w:tcPr>
            <w:tcW w:w="1278" w:type="dxa"/>
          </w:tcPr>
          <w:p w14:paraId="07970763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5</w:t>
            </w:r>
          </w:p>
        </w:tc>
        <w:tc>
          <w:tcPr>
            <w:tcW w:w="8298" w:type="dxa"/>
          </w:tcPr>
          <w:p w14:paraId="48030BE6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I avoid selecting for traits that unfavorably affect reproduction.  </w:t>
            </w:r>
          </w:p>
        </w:tc>
      </w:tr>
      <w:tr w:rsidR="00D67906" w:rsidRPr="0051667B" w14:paraId="13118DE4" w14:textId="77777777" w:rsidTr="00C667E9">
        <w:tc>
          <w:tcPr>
            <w:tcW w:w="1278" w:type="dxa"/>
          </w:tcPr>
          <w:p w14:paraId="004ADF11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6</w:t>
            </w:r>
          </w:p>
        </w:tc>
        <w:tc>
          <w:tcPr>
            <w:tcW w:w="8298" w:type="dxa"/>
          </w:tcPr>
          <w:p w14:paraId="535C32B1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Carcass merit traits (i.e. </w:t>
            </w:r>
            <w:proofErr w:type="spellStart"/>
            <w:r w:rsidRPr="0051667B">
              <w:t>backfat</w:t>
            </w:r>
            <w:proofErr w:type="spellEnd"/>
            <w:r w:rsidRPr="0051667B">
              <w:t xml:space="preserve">, loin eye area, and marbling) are important to me.  </w:t>
            </w:r>
          </w:p>
        </w:tc>
      </w:tr>
      <w:tr w:rsidR="00D67906" w:rsidRPr="0051667B" w14:paraId="4ED42373" w14:textId="77777777" w:rsidTr="00C667E9">
        <w:tc>
          <w:tcPr>
            <w:tcW w:w="1278" w:type="dxa"/>
          </w:tcPr>
          <w:p w14:paraId="237D20AC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7</w:t>
            </w:r>
          </w:p>
        </w:tc>
        <w:tc>
          <w:tcPr>
            <w:tcW w:w="8298" w:type="dxa"/>
          </w:tcPr>
          <w:p w14:paraId="125B2CD8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I select for wool characteristics (i.e. fiber diameter or fiber length).</w:t>
            </w:r>
          </w:p>
        </w:tc>
      </w:tr>
      <w:tr w:rsidR="00D67906" w:rsidRPr="0051667B" w14:paraId="143A7B86" w14:textId="77777777" w:rsidTr="00C667E9">
        <w:tc>
          <w:tcPr>
            <w:tcW w:w="1278" w:type="dxa"/>
          </w:tcPr>
          <w:p w14:paraId="3B60C978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8</w:t>
            </w:r>
          </w:p>
        </w:tc>
        <w:tc>
          <w:tcPr>
            <w:tcW w:w="8298" w:type="dxa"/>
          </w:tcPr>
          <w:p w14:paraId="0B1DE081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I have used genetic markers previously.</w:t>
            </w:r>
          </w:p>
        </w:tc>
      </w:tr>
      <w:tr w:rsidR="00D67906" w:rsidRPr="0051667B" w14:paraId="3CDA7135" w14:textId="77777777" w:rsidTr="00C667E9">
        <w:tc>
          <w:tcPr>
            <w:tcW w:w="1278" w:type="dxa"/>
          </w:tcPr>
          <w:p w14:paraId="22A1822C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9</w:t>
            </w:r>
          </w:p>
        </w:tc>
        <w:tc>
          <w:tcPr>
            <w:tcW w:w="8298" w:type="dxa"/>
          </w:tcPr>
          <w:p w14:paraId="290B9832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If available, I would use a genetic marker to assess feed efficiency.</w:t>
            </w:r>
          </w:p>
        </w:tc>
      </w:tr>
      <w:tr w:rsidR="00D67906" w:rsidRPr="0051667B" w14:paraId="38411049" w14:textId="77777777" w:rsidTr="00C667E9">
        <w:tc>
          <w:tcPr>
            <w:tcW w:w="1278" w:type="dxa"/>
          </w:tcPr>
          <w:p w14:paraId="2335DD31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10</w:t>
            </w:r>
          </w:p>
        </w:tc>
        <w:tc>
          <w:tcPr>
            <w:tcW w:w="8298" w:type="dxa"/>
          </w:tcPr>
          <w:p w14:paraId="64735998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>I am interested in information on genetic markers.</w:t>
            </w:r>
          </w:p>
        </w:tc>
      </w:tr>
      <w:tr w:rsidR="00D67906" w:rsidRPr="0051667B" w14:paraId="346068DD" w14:textId="77777777" w:rsidTr="00C667E9">
        <w:tc>
          <w:tcPr>
            <w:tcW w:w="1278" w:type="dxa"/>
            <w:tcBorders>
              <w:bottom w:val="single" w:sz="4" w:space="0" w:color="auto"/>
            </w:tcBorders>
          </w:tcPr>
          <w:p w14:paraId="331A81DC" w14:textId="77777777" w:rsidR="00D67906" w:rsidRPr="0051667B" w:rsidRDefault="00D67906" w:rsidP="00C667E9">
            <w:pPr>
              <w:contextualSpacing/>
              <w:jc w:val="center"/>
            </w:pPr>
            <w:r w:rsidRPr="0051667B">
              <w:t>11</w:t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14:paraId="1AF49763" w14:textId="77777777" w:rsidR="00D67906" w:rsidRPr="0051667B" w:rsidRDefault="00D67906" w:rsidP="00C667E9">
            <w:pPr>
              <w:contextualSpacing/>
              <w:jc w:val="both"/>
            </w:pPr>
            <w:r w:rsidRPr="0051667B">
              <w:t xml:space="preserve">After being provided with information on feed efficiency, I would select for residual feed intake.  </w:t>
            </w:r>
          </w:p>
        </w:tc>
      </w:tr>
      <w:tr w:rsidR="00D67906" w:rsidRPr="0051667B" w14:paraId="0240F5C6" w14:textId="77777777" w:rsidTr="00C667E9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71A3AD17" w14:textId="77777777" w:rsidR="00D67906" w:rsidRPr="0051667B" w:rsidRDefault="00D67906" w:rsidP="00C667E9">
            <w:pPr>
              <w:contextualSpacing/>
              <w:jc w:val="both"/>
            </w:pPr>
            <w:r w:rsidRPr="0051667B">
              <w:rPr>
                <w:vertAlign w:val="superscript"/>
              </w:rPr>
              <w:t>1</w:t>
            </w:r>
            <w:r w:rsidRPr="0051667B">
              <w:t xml:space="preserve">Responses to questions were:  1 = Strongly disagree, 2 = Disagree, 3 = Neutral, 4 = Agree, 5 = Strongly agree.  </w:t>
            </w:r>
          </w:p>
          <w:p w14:paraId="2F343E26" w14:textId="77777777" w:rsidR="00D67906" w:rsidRPr="0051667B" w:rsidRDefault="00D67906" w:rsidP="00C667E9">
            <w:pPr>
              <w:contextualSpacing/>
              <w:jc w:val="both"/>
            </w:pPr>
            <w:r w:rsidRPr="0051667B">
              <w:rPr>
                <w:vertAlign w:val="superscript"/>
              </w:rPr>
              <w:t>2</w:t>
            </w:r>
            <w:r w:rsidRPr="0051667B">
              <w:t>Questions 1 – 10 were on initial survey and questions 1 – 11 were on the final survey after being provided with information on residual feed intake (</w:t>
            </w:r>
            <w:r w:rsidRPr="00C8281C">
              <w:rPr>
                <w:b/>
              </w:rPr>
              <w:t>RFI</w:t>
            </w:r>
            <w:r w:rsidRPr="0051667B">
              <w:t xml:space="preserve">) and how individual rams performed.  </w:t>
            </w:r>
          </w:p>
        </w:tc>
      </w:tr>
    </w:tbl>
    <w:p w14:paraId="112168BA" w14:textId="77777777" w:rsidR="00D67906" w:rsidRPr="0051667B" w:rsidRDefault="00D67906" w:rsidP="00D67906">
      <w:pPr>
        <w:spacing w:after="0"/>
        <w:contextualSpacing/>
        <w:jc w:val="both"/>
      </w:pPr>
    </w:p>
    <w:p w14:paraId="49BB591A" w14:textId="77777777" w:rsidR="00D67906" w:rsidRPr="0051667B" w:rsidRDefault="00D67906" w:rsidP="00D67906">
      <w:pPr>
        <w:spacing w:after="0"/>
        <w:contextualSpacing/>
        <w:jc w:val="both"/>
      </w:pPr>
    </w:p>
    <w:p w14:paraId="33560766" w14:textId="77777777" w:rsidR="00D67906" w:rsidRPr="00A3046D" w:rsidRDefault="00D67906" w:rsidP="00D67906">
      <w:pPr>
        <w:spacing w:after="0"/>
        <w:contextualSpacing/>
        <w:jc w:val="both"/>
      </w:pPr>
      <w:r w:rsidRPr="001C2885">
        <w:rPr>
          <w:noProof/>
          <w:lang w:eastAsia="en-US"/>
        </w:rPr>
        <w:drawing>
          <wp:inline distT="0" distB="0" distL="0" distR="0" wp14:anchorId="6CE9A470" wp14:editId="5A5652B3">
            <wp:extent cx="5943600" cy="2286000"/>
            <wp:effectExtent l="0" t="0" r="25400" b="2540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b/>
          <w:bCs/>
        </w:rPr>
        <w:t>Figure 2</w:t>
      </w:r>
      <w:r w:rsidRPr="001C2885">
        <w:rPr>
          <w:b/>
          <w:bCs/>
        </w:rPr>
        <w:t xml:space="preserve">.  </w:t>
      </w:r>
      <w:r>
        <w:rPr>
          <w:bCs/>
        </w:rPr>
        <w:t>Individual ewe (n = 61) residual feed intake (</w:t>
      </w:r>
      <w:r w:rsidRPr="00FC30F9">
        <w:rPr>
          <w:b/>
          <w:bCs/>
        </w:rPr>
        <w:t>RFI</w:t>
      </w:r>
      <w:r>
        <w:rPr>
          <w:bCs/>
        </w:rPr>
        <w:t xml:space="preserve">) on concentrate and forage rations. Each bar represents an individual ewe’s </w:t>
      </w:r>
      <w:r w:rsidRPr="00FC30F9">
        <w:rPr>
          <w:b/>
          <w:bCs/>
        </w:rPr>
        <w:t>RFI</w:t>
      </w:r>
      <w:r>
        <w:rPr>
          <w:bCs/>
        </w:rPr>
        <w:t xml:space="preserve"> estimate.  </w:t>
      </w:r>
      <w:r w:rsidRPr="00A3046D">
        <w:rPr>
          <w:bCs/>
        </w:rPr>
        <w:t>There was a positive correlation (</w:t>
      </w:r>
      <w:r w:rsidRPr="00A3046D">
        <w:rPr>
          <w:bCs/>
          <w:i/>
          <w:iCs/>
        </w:rPr>
        <w:t xml:space="preserve">P </w:t>
      </w:r>
      <w:r w:rsidRPr="00A3046D">
        <w:rPr>
          <w:bCs/>
        </w:rPr>
        <w:t xml:space="preserve">&lt; 0.001, r = 0.69) between </w:t>
      </w:r>
      <w:r w:rsidRPr="004A24F3">
        <w:rPr>
          <w:b/>
          <w:bCs/>
        </w:rPr>
        <w:t>RFI</w:t>
      </w:r>
      <w:r w:rsidRPr="00A3046D">
        <w:rPr>
          <w:bCs/>
        </w:rPr>
        <w:t xml:space="preserve"> rankings when ewes were tested on concentrate and the forage diets. </w:t>
      </w:r>
    </w:p>
    <w:p w14:paraId="06669C70" w14:textId="77777777" w:rsidR="00D67906" w:rsidRPr="0051667B" w:rsidRDefault="00D67906" w:rsidP="00D67906">
      <w:pPr>
        <w:spacing w:after="0"/>
        <w:contextualSpacing/>
        <w:jc w:val="both"/>
      </w:pPr>
    </w:p>
    <w:p w14:paraId="298C39FF" w14:textId="77777777" w:rsidR="00D67906" w:rsidRDefault="00D67906" w:rsidP="00D67906">
      <w:pPr>
        <w:spacing w:after="0"/>
        <w:contextualSpacing/>
        <w:jc w:val="both"/>
        <w:rPr>
          <w:bCs/>
        </w:rPr>
      </w:pPr>
    </w:p>
    <w:p w14:paraId="0399C627" w14:textId="77777777" w:rsidR="00A73B74" w:rsidRDefault="00A73B74" w:rsidP="00D67906">
      <w:pPr>
        <w:spacing w:after="0"/>
        <w:contextualSpacing/>
        <w:jc w:val="both"/>
        <w:rPr>
          <w:bCs/>
        </w:rPr>
      </w:pPr>
    </w:p>
    <w:p w14:paraId="3D5389D4" w14:textId="77777777" w:rsidR="00A73B74" w:rsidRDefault="00A73B74" w:rsidP="00D67906">
      <w:pPr>
        <w:spacing w:after="0"/>
        <w:contextualSpacing/>
        <w:jc w:val="both"/>
        <w:rPr>
          <w:bCs/>
        </w:rPr>
      </w:pPr>
    </w:p>
    <w:p w14:paraId="48DB64AE" w14:textId="77777777" w:rsidR="00A73B74" w:rsidRPr="0051667B" w:rsidRDefault="00A73B74" w:rsidP="00D67906">
      <w:pPr>
        <w:spacing w:after="0"/>
        <w:contextualSpacing/>
        <w:jc w:val="both"/>
        <w:rPr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341"/>
        <w:gridCol w:w="2610"/>
        <w:gridCol w:w="1800"/>
        <w:gridCol w:w="1277"/>
      </w:tblGrid>
      <w:tr w:rsidR="00D67906" w14:paraId="073A2FA0" w14:textId="77777777" w:rsidTr="00C667E9"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23B238CF" w14:textId="77777777" w:rsidR="00D67906" w:rsidRPr="004563FC" w:rsidRDefault="00D67906" w:rsidP="00C667E9">
            <w:pPr>
              <w:contextualSpacing/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Table 2.  </w:t>
            </w:r>
            <w:r>
              <w:rPr>
                <w:bCs/>
              </w:rPr>
              <w:t>Performance differences in selected ewes on concentrate and forage rations</w:t>
            </w:r>
            <w:r>
              <w:rPr>
                <w:bCs/>
                <w:vertAlign w:val="superscript"/>
              </w:rPr>
              <w:t>1, 2</w:t>
            </w:r>
            <w:r>
              <w:rPr>
                <w:bCs/>
              </w:rPr>
              <w:t xml:space="preserve">.  </w:t>
            </w:r>
          </w:p>
        </w:tc>
      </w:tr>
      <w:tr w:rsidR="00D67906" w14:paraId="4727117E" w14:textId="77777777" w:rsidTr="00C667E9">
        <w:tc>
          <w:tcPr>
            <w:tcW w:w="808" w:type="pct"/>
            <w:tcBorders>
              <w:top w:val="double" w:sz="4" w:space="0" w:color="auto"/>
              <w:bottom w:val="single" w:sz="4" w:space="0" w:color="auto"/>
            </w:tcBorders>
          </w:tcPr>
          <w:p w14:paraId="5E41B91B" w14:textId="77777777" w:rsidR="00D67906" w:rsidRDefault="00D67906" w:rsidP="00C667E9">
            <w:pPr>
              <w:contextualSpacing/>
              <w:jc w:val="center"/>
              <w:rPr>
                <w:bCs/>
              </w:rPr>
            </w:pPr>
            <w:r w:rsidRPr="001C2885">
              <w:rPr>
                <w:b/>
                <w:bCs/>
              </w:rPr>
              <w:t>Item</w:t>
            </w:r>
          </w:p>
        </w:tc>
        <w:tc>
          <w:tcPr>
            <w:tcW w:w="1222" w:type="pct"/>
            <w:tcBorders>
              <w:top w:val="double" w:sz="4" w:space="0" w:color="auto"/>
              <w:bottom w:val="single" w:sz="4" w:space="0" w:color="auto"/>
            </w:tcBorders>
          </w:tcPr>
          <w:p w14:paraId="1A67328D" w14:textId="77777777" w:rsidR="00D67906" w:rsidRDefault="00D67906" w:rsidP="00C667E9">
            <w:pPr>
              <w:contextualSpacing/>
              <w:jc w:val="center"/>
            </w:pPr>
            <w:r>
              <w:rPr>
                <w:b/>
                <w:bCs/>
              </w:rPr>
              <w:t>Low</w:t>
            </w:r>
            <w:r w:rsidRPr="001C28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RFI</w:t>
            </w:r>
          </w:p>
          <w:p w14:paraId="040B1ABA" w14:textId="77777777" w:rsidR="00D67906" w:rsidRPr="004563FC" w:rsidRDefault="00D67906" w:rsidP="00C667E9">
            <w:pPr>
              <w:contextualSpacing/>
              <w:jc w:val="center"/>
            </w:pPr>
            <w:r w:rsidRPr="001C2885">
              <w:rPr>
                <w:b/>
                <w:bCs/>
              </w:rPr>
              <w:t>(</w:t>
            </w:r>
            <w:proofErr w:type="gramStart"/>
            <w:r w:rsidRPr="001C2885">
              <w:rPr>
                <w:b/>
                <w:bCs/>
              </w:rPr>
              <w:t>n</w:t>
            </w:r>
            <w:proofErr w:type="gramEnd"/>
            <w:r w:rsidRPr="001C2885">
              <w:rPr>
                <w:b/>
                <w:bCs/>
              </w:rPr>
              <w:t xml:space="preserve"> = 6)</w:t>
            </w:r>
          </w:p>
        </w:tc>
        <w:tc>
          <w:tcPr>
            <w:tcW w:w="1363" w:type="pct"/>
            <w:tcBorders>
              <w:top w:val="double" w:sz="4" w:space="0" w:color="auto"/>
              <w:bottom w:val="single" w:sz="4" w:space="0" w:color="auto"/>
            </w:tcBorders>
          </w:tcPr>
          <w:p w14:paraId="390CFA55" w14:textId="77777777" w:rsidR="00D67906" w:rsidRPr="001C2885" w:rsidRDefault="00D67906" w:rsidP="00C667E9">
            <w:pPr>
              <w:contextualSpacing/>
              <w:jc w:val="center"/>
            </w:pPr>
            <w:r>
              <w:rPr>
                <w:b/>
                <w:bCs/>
              </w:rPr>
              <w:t>Medium RFI</w:t>
            </w:r>
          </w:p>
          <w:p w14:paraId="41EC6186" w14:textId="77777777" w:rsidR="00D67906" w:rsidRDefault="00D67906" w:rsidP="00C667E9">
            <w:pPr>
              <w:contextualSpacing/>
              <w:jc w:val="center"/>
              <w:rPr>
                <w:bCs/>
              </w:rPr>
            </w:pPr>
            <w:r w:rsidRPr="001C2885">
              <w:rPr>
                <w:b/>
                <w:bCs/>
              </w:rPr>
              <w:t>(</w:t>
            </w:r>
            <w:proofErr w:type="gramStart"/>
            <w:r w:rsidRPr="001C2885">
              <w:rPr>
                <w:b/>
                <w:bCs/>
              </w:rPr>
              <w:t>n</w:t>
            </w:r>
            <w:proofErr w:type="gramEnd"/>
            <w:r w:rsidRPr="001C2885">
              <w:rPr>
                <w:b/>
                <w:bCs/>
              </w:rPr>
              <w:t xml:space="preserve"> = 6)</w:t>
            </w:r>
          </w:p>
        </w:tc>
        <w:tc>
          <w:tcPr>
            <w:tcW w:w="940" w:type="pct"/>
            <w:tcBorders>
              <w:top w:val="double" w:sz="4" w:space="0" w:color="auto"/>
              <w:bottom w:val="single" w:sz="4" w:space="0" w:color="auto"/>
            </w:tcBorders>
          </w:tcPr>
          <w:p w14:paraId="246638EF" w14:textId="77777777" w:rsidR="00D67906" w:rsidRPr="001C2885" w:rsidRDefault="00D67906" w:rsidP="00C667E9">
            <w:pPr>
              <w:contextualSpacing/>
              <w:jc w:val="center"/>
            </w:pPr>
            <w:r>
              <w:rPr>
                <w:b/>
                <w:bCs/>
              </w:rPr>
              <w:t>High RFI</w:t>
            </w:r>
          </w:p>
          <w:p w14:paraId="00A2E7D8" w14:textId="77777777" w:rsidR="00D67906" w:rsidRDefault="00D67906" w:rsidP="00C667E9">
            <w:pPr>
              <w:contextualSpacing/>
              <w:jc w:val="center"/>
              <w:rPr>
                <w:bCs/>
              </w:rPr>
            </w:pPr>
            <w:r w:rsidRPr="001C2885">
              <w:rPr>
                <w:b/>
                <w:bCs/>
              </w:rPr>
              <w:t>(</w:t>
            </w:r>
            <w:proofErr w:type="gramStart"/>
            <w:r w:rsidRPr="001C2885">
              <w:rPr>
                <w:b/>
                <w:bCs/>
              </w:rPr>
              <w:t>n</w:t>
            </w:r>
            <w:proofErr w:type="gramEnd"/>
            <w:r w:rsidRPr="001C2885">
              <w:rPr>
                <w:b/>
                <w:bCs/>
              </w:rPr>
              <w:t xml:space="preserve"> = 6)</w:t>
            </w:r>
          </w:p>
        </w:tc>
        <w:tc>
          <w:tcPr>
            <w:tcW w:w="667" w:type="pct"/>
            <w:tcBorders>
              <w:top w:val="double" w:sz="4" w:space="0" w:color="auto"/>
              <w:bottom w:val="single" w:sz="4" w:space="0" w:color="auto"/>
            </w:tcBorders>
          </w:tcPr>
          <w:p w14:paraId="04A4F3BB" w14:textId="77777777" w:rsidR="00D67906" w:rsidRDefault="00D67906" w:rsidP="00C667E9">
            <w:pPr>
              <w:contextualSpacing/>
              <w:jc w:val="center"/>
              <w:rPr>
                <w:bCs/>
              </w:rPr>
            </w:pPr>
            <w:r w:rsidRPr="001C2885">
              <w:rPr>
                <w:b/>
                <w:bCs/>
                <w:i/>
                <w:iCs/>
              </w:rPr>
              <w:t>P</w:t>
            </w:r>
            <w:r w:rsidRPr="001C2885">
              <w:rPr>
                <w:b/>
                <w:bCs/>
              </w:rPr>
              <w:t>-value</w:t>
            </w:r>
          </w:p>
        </w:tc>
      </w:tr>
      <w:tr w:rsidR="00D67906" w14:paraId="1287C192" w14:textId="77777777" w:rsidTr="00C667E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D6FBD4" w14:textId="77777777" w:rsidR="00D67906" w:rsidRPr="004563FC" w:rsidRDefault="00D67906" w:rsidP="00C667E9">
            <w:pPr>
              <w:contextualSpacing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Concentrate ration</w:t>
            </w:r>
          </w:p>
        </w:tc>
      </w:tr>
      <w:tr w:rsidR="00D67906" w14:paraId="73204980" w14:textId="77777777" w:rsidTr="00C667E9">
        <w:tc>
          <w:tcPr>
            <w:tcW w:w="808" w:type="pct"/>
            <w:tcBorders>
              <w:top w:val="single" w:sz="4" w:space="0" w:color="auto"/>
            </w:tcBorders>
          </w:tcPr>
          <w:p w14:paraId="7D19B170" w14:textId="77777777" w:rsidR="00D67906" w:rsidRPr="0078534D" w:rsidRDefault="00D67906" w:rsidP="00C667E9">
            <w:pPr>
              <w:contextualSpacing/>
              <w:rPr>
                <w:bCs/>
                <w:vertAlign w:val="superscript"/>
              </w:rPr>
            </w:pPr>
            <w:r w:rsidRPr="00881662">
              <w:t>RFI (kg/</w:t>
            </w:r>
            <w:proofErr w:type="gramStart"/>
            <w:r w:rsidRPr="00881662">
              <w:t>d)</w:t>
            </w:r>
            <w:r>
              <w:rPr>
                <w:vertAlign w:val="superscript"/>
              </w:rPr>
              <w:t>3</w:t>
            </w:r>
            <w:proofErr w:type="gramEnd"/>
          </w:p>
        </w:tc>
        <w:tc>
          <w:tcPr>
            <w:tcW w:w="1222" w:type="pct"/>
            <w:tcBorders>
              <w:top w:val="single" w:sz="4" w:space="0" w:color="auto"/>
            </w:tcBorders>
          </w:tcPr>
          <w:p w14:paraId="5DB906C1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-0.2702 ± 0.09</w:t>
            </w:r>
            <w:r w:rsidRPr="001C2885">
              <w:rPr>
                <w:vertAlign w:val="superscript"/>
              </w:rPr>
              <w:t>a</w:t>
            </w:r>
          </w:p>
        </w:tc>
        <w:tc>
          <w:tcPr>
            <w:tcW w:w="1363" w:type="pct"/>
            <w:tcBorders>
              <w:top w:val="single" w:sz="4" w:space="0" w:color="auto"/>
            </w:tcBorders>
          </w:tcPr>
          <w:p w14:paraId="1E44F7B3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-0.0202 ± 0.09</w:t>
            </w:r>
            <w:r w:rsidRPr="001C2885">
              <w:rPr>
                <w:vertAlign w:val="superscript"/>
              </w:rPr>
              <w:t>a</w:t>
            </w:r>
            <w:r w:rsidRPr="00C9700D">
              <w:rPr>
                <w:vertAlign w:val="superscript"/>
              </w:rPr>
              <w:t>b</w:t>
            </w:r>
          </w:p>
        </w:tc>
        <w:tc>
          <w:tcPr>
            <w:tcW w:w="940" w:type="pct"/>
            <w:tcBorders>
              <w:top w:val="single" w:sz="4" w:space="0" w:color="auto"/>
            </w:tcBorders>
          </w:tcPr>
          <w:p w14:paraId="56DF62D8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0.5338 ± 0.09</w:t>
            </w:r>
            <w:r w:rsidRPr="001C2885">
              <w:rPr>
                <w:vertAlign w:val="superscript"/>
              </w:rPr>
              <w:t>c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52DFE9FC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&lt; 0.001</w:t>
            </w:r>
          </w:p>
        </w:tc>
      </w:tr>
      <w:tr w:rsidR="00D67906" w14:paraId="34AD19F5" w14:textId="77777777" w:rsidTr="00C667E9">
        <w:tc>
          <w:tcPr>
            <w:tcW w:w="808" w:type="pct"/>
          </w:tcPr>
          <w:p w14:paraId="38B0B55A" w14:textId="77777777" w:rsidR="00D67906" w:rsidRDefault="00D67906" w:rsidP="00C667E9">
            <w:pPr>
              <w:contextualSpacing/>
              <w:rPr>
                <w:bCs/>
              </w:rPr>
            </w:pPr>
            <w:r w:rsidRPr="00881662">
              <w:t>ADG (kg)</w:t>
            </w:r>
          </w:p>
        </w:tc>
        <w:tc>
          <w:tcPr>
            <w:tcW w:w="1222" w:type="pct"/>
          </w:tcPr>
          <w:p w14:paraId="6E2A0F4A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0.20 ± 0.02</w:t>
            </w:r>
          </w:p>
        </w:tc>
        <w:tc>
          <w:tcPr>
            <w:tcW w:w="1363" w:type="pct"/>
          </w:tcPr>
          <w:p w14:paraId="5E9982AA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0.18 ± 0.02</w:t>
            </w:r>
          </w:p>
        </w:tc>
        <w:tc>
          <w:tcPr>
            <w:tcW w:w="940" w:type="pct"/>
          </w:tcPr>
          <w:p w14:paraId="4236AC78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0.21 ± 0.02</w:t>
            </w:r>
          </w:p>
        </w:tc>
        <w:tc>
          <w:tcPr>
            <w:tcW w:w="667" w:type="pct"/>
          </w:tcPr>
          <w:p w14:paraId="468342F9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0.502</w:t>
            </w:r>
          </w:p>
        </w:tc>
      </w:tr>
      <w:tr w:rsidR="00D67906" w14:paraId="13D20E8F" w14:textId="77777777" w:rsidTr="00C667E9">
        <w:tc>
          <w:tcPr>
            <w:tcW w:w="808" w:type="pct"/>
          </w:tcPr>
          <w:p w14:paraId="6FC99B20" w14:textId="77777777" w:rsidR="00D67906" w:rsidRPr="0078534D" w:rsidRDefault="00D67906" w:rsidP="00C667E9">
            <w:pPr>
              <w:contextualSpacing/>
              <w:rPr>
                <w:vertAlign w:val="superscript"/>
              </w:rPr>
            </w:pPr>
            <w:r>
              <w:t>MMWT (</w:t>
            </w:r>
            <w:proofErr w:type="gramStart"/>
            <w:r>
              <w:t>kg)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222" w:type="pct"/>
          </w:tcPr>
          <w:p w14:paraId="245113A3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18.41 </w:t>
            </w:r>
            <w:r>
              <w:rPr>
                <w:rFonts w:ascii="Cambria" w:hAnsi="Cambria"/>
              </w:rPr>
              <w:t>±</w:t>
            </w:r>
            <w:r>
              <w:t xml:space="preserve"> 1.07</w:t>
            </w:r>
          </w:p>
        </w:tc>
        <w:tc>
          <w:tcPr>
            <w:tcW w:w="1363" w:type="pct"/>
          </w:tcPr>
          <w:p w14:paraId="556B152D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18.19 </w:t>
            </w:r>
            <w:r>
              <w:rPr>
                <w:rFonts w:ascii="Cambria" w:hAnsi="Cambria"/>
              </w:rPr>
              <w:t>±</w:t>
            </w:r>
            <w:r>
              <w:t xml:space="preserve"> 0.53</w:t>
            </w:r>
          </w:p>
        </w:tc>
        <w:tc>
          <w:tcPr>
            <w:tcW w:w="940" w:type="pct"/>
          </w:tcPr>
          <w:p w14:paraId="08184BB3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18.72 </w:t>
            </w:r>
            <w:r>
              <w:rPr>
                <w:rFonts w:ascii="Cambria" w:hAnsi="Cambria"/>
              </w:rPr>
              <w:t>±</w:t>
            </w:r>
            <w:r>
              <w:t xml:space="preserve"> 0.46</w:t>
            </w:r>
          </w:p>
        </w:tc>
        <w:tc>
          <w:tcPr>
            <w:tcW w:w="667" w:type="pct"/>
          </w:tcPr>
          <w:p w14:paraId="271CB82B" w14:textId="77777777" w:rsidR="00D67906" w:rsidRPr="001C2885" w:rsidRDefault="00D67906" w:rsidP="00C667E9">
            <w:pPr>
              <w:contextualSpacing/>
              <w:jc w:val="both"/>
            </w:pPr>
            <w:r>
              <w:t>0.880</w:t>
            </w:r>
          </w:p>
        </w:tc>
      </w:tr>
      <w:tr w:rsidR="00D67906" w14:paraId="2F719415" w14:textId="77777777" w:rsidTr="00C667E9">
        <w:tc>
          <w:tcPr>
            <w:tcW w:w="808" w:type="pct"/>
            <w:tcBorders>
              <w:bottom w:val="single" w:sz="4" w:space="0" w:color="auto"/>
            </w:tcBorders>
          </w:tcPr>
          <w:p w14:paraId="7C853B9E" w14:textId="77777777" w:rsidR="00D67906" w:rsidRPr="0078534D" w:rsidRDefault="00D67906" w:rsidP="00C667E9">
            <w:pPr>
              <w:contextualSpacing/>
              <w:rPr>
                <w:bCs/>
                <w:vertAlign w:val="superscript"/>
              </w:rPr>
            </w:pPr>
            <w:r>
              <w:t>ADI</w:t>
            </w:r>
            <w:r w:rsidRPr="00881662">
              <w:t xml:space="preserve"> (</w:t>
            </w:r>
            <w:proofErr w:type="gramStart"/>
            <w:r w:rsidRPr="00881662">
              <w:t>kg)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1E4D1B08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1.72 ± 0.12</w:t>
            </w:r>
            <w:r w:rsidRPr="001C2885">
              <w:rPr>
                <w:vertAlign w:val="superscript"/>
              </w:rPr>
              <w:t>a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14:paraId="0F12B47C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1.94 ± 0.12</w:t>
            </w:r>
            <w:r w:rsidRPr="001C2885">
              <w:rPr>
                <w:vertAlign w:val="superscript"/>
              </w:rPr>
              <w:t>ab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5BA2C3D3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2.56 ± 0.12</w:t>
            </w:r>
            <w:r w:rsidRPr="001C2885">
              <w:rPr>
                <w:vertAlign w:val="superscript"/>
              </w:rPr>
              <w:t>c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E3F5A22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&lt; 0.001</w:t>
            </w:r>
          </w:p>
        </w:tc>
      </w:tr>
      <w:tr w:rsidR="00D67906" w14:paraId="54B2B5DA" w14:textId="77777777" w:rsidTr="00C667E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4AB947" w14:textId="77777777" w:rsidR="00D67906" w:rsidRPr="004563FC" w:rsidRDefault="00D67906" w:rsidP="00C667E9">
            <w:pPr>
              <w:contextualSpacing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Forage ration</w:t>
            </w:r>
          </w:p>
        </w:tc>
      </w:tr>
      <w:tr w:rsidR="00D67906" w14:paraId="35162073" w14:textId="77777777" w:rsidTr="00C667E9">
        <w:tc>
          <w:tcPr>
            <w:tcW w:w="808" w:type="pct"/>
            <w:tcBorders>
              <w:top w:val="single" w:sz="4" w:space="0" w:color="auto"/>
            </w:tcBorders>
          </w:tcPr>
          <w:p w14:paraId="66F75CF6" w14:textId="77777777" w:rsidR="00D67906" w:rsidRPr="0078534D" w:rsidRDefault="00D67906" w:rsidP="00C667E9">
            <w:pPr>
              <w:contextualSpacing/>
              <w:jc w:val="both"/>
              <w:rPr>
                <w:bCs/>
                <w:vertAlign w:val="superscript"/>
              </w:rPr>
            </w:pPr>
            <w:r w:rsidRPr="00101DDE">
              <w:t>RFI (kg/</w:t>
            </w:r>
            <w:proofErr w:type="gramStart"/>
            <w:r w:rsidRPr="00101DDE">
              <w:t>d)</w:t>
            </w:r>
            <w:r>
              <w:rPr>
                <w:vertAlign w:val="superscript"/>
              </w:rPr>
              <w:t>3</w:t>
            </w:r>
            <w:proofErr w:type="gramEnd"/>
          </w:p>
        </w:tc>
        <w:tc>
          <w:tcPr>
            <w:tcW w:w="1222" w:type="pct"/>
            <w:tcBorders>
              <w:top w:val="single" w:sz="4" w:space="0" w:color="auto"/>
            </w:tcBorders>
          </w:tcPr>
          <w:p w14:paraId="3AB6315E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-0.6385 ± 0.08</w:t>
            </w:r>
            <w:r w:rsidRPr="001C2885">
              <w:rPr>
                <w:vertAlign w:val="superscript"/>
              </w:rPr>
              <w:t>a</w:t>
            </w:r>
          </w:p>
        </w:tc>
        <w:tc>
          <w:tcPr>
            <w:tcW w:w="1363" w:type="pct"/>
            <w:tcBorders>
              <w:top w:val="single" w:sz="4" w:space="0" w:color="auto"/>
            </w:tcBorders>
          </w:tcPr>
          <w:p w14:paraId="7A90C17B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-0.0112 ± 0.08</w:t>
            </w:r>
            <w:r w:rsidRPr="001C2885">
              <w:rPr>
                <w:vertAlign w:val="superscript"/>
              </w:rPr>
              <w:t>b</w:t>
            </w:r>
          </w:p>
        </w:tc>
        <w:tc>
          <w:tcPr>
            <w:tcW w:w="940" w:type="pct"/>
            <w:tcBorders>
              <w:top w:val="single" w:sz="4" w:space="0" w:color="auto"/>
            </w:tcBorders>
          </w:tcPr>
          <w:p w14:paraId="1E5B7FD3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0.7287 ± 0.08</w:t>
            </w:r>
            <w:r w:rsidRPr="001C2885">
              <w:rPr>
                <w:vertAlign w:val="superscript"/>
              </w:rPr>
              <w:t>c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14:paraId="37438A1C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&lt; 0.001</w:t>
            </w:r>
          </w:p>
        </w:tc>
      </w:tr>
      <w:tr w:rsidR="00D67906" w14:paraId="2648DA53" w14:textId="77777777" w:rsidTr="00C667E9">
        <w:tc>
          <w:tcPr>
            <w:tcW w:w="808" w:type="pct"/>
          </w:tcPr>
          <w:p w14:paraId="2CE7B22C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01DDE">
              <w:t>ADG (kg)</w:t>
            </w:r>
          </w:p>
        </w:tc>
        <w:tc>
          <w:tcPr>
            <w:tcW w:w="1222" w:type="pct"/>
          </w:tcPr>
          <w:p w14:paraId="4FAB0605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0.25 ± 0.02</w:t>
            </w:r>
          </w:p>
        </w:tc>
        <w:tc>
          <w:tcPr>
            <w:tcW w:w="1363" w:type="pct"/>
          </w:tcPr>
          <w:p w14:paraId="6F12C4F5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0.26 ± 0.02</w:t>
            </w:r>
          </w:p>
        </w:tc>
        <w:tc>
          <w:tcPr>
            <w:tcW w:w="940" w:type="pct"/>
          </w:tcPr>
          <w:p w14:paraId="3E1ACE5C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0.25 ± 0.02</w:t>
            </w:r>
          </w:p>
        </w:tc>
        <w:tc>
          <w:tcPr>
            <w:tcW w:w="667" w:type="pct"/>
          </w:tcPr>
          <w:p w14:paraId="256B73DE" w14:textId="77777777" w:rsidR="00D67906" w:rsidRPr="004563FC" w:rsidRDefault="00D67906" w:rsidP="00C667E9">
            <w:pPr>
              <w:contextualSpacing/>
              <w:jc w:val="both"/>
            </w:pPr>
            <w:r w:rsidRPr="001C2885">
              <w:t>0.977</w:t>
            </w:r>
          </w:p>
        </w:tc>
      </w:tr>
      <w:tr w:rsidR="00D67906" w14:paraId="56442A70" w14:textId="77777777" w:rsidTr="00C667E9">
        <w:tc>
          <w:tcPr>
            <w:tcW w:w="808" w:type="pct"/>
          </w:tcPr>
          <w:p w14:paraId="53EC715A" w14:textId="77777777" w:rsidR="00D67906" w:rsidRPr="0078534D" w:rsidRDefault="00D67906" w:rsidP="00C667E9">
            <w:pPr>
              <w:contextualSpacing/>
              <w:jc w:val="both"/>
              <w:rPr>
                <w:vertAlign w:val="superscript"/>
              </w:rPr>
            </w:pPr>
            <w:r>
              <w:t>MMWT (</w:t>
            </w:r>
            <w:proofErr w:type="gramStart"/>
            <w:r>
              <w:t>kg)</w:t>
            </w:r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222" w:type="pct"/>
          </w:tcPr>
          <w:p w14:paraId="30C56350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19.67 </w:t>
            </w:r>
            <w:r>
              <w:rPr>
                <w:rFonts w:ascii="Cambria" w:hAnsi="Cambria"/>
              </w:rPr>
              <w:t>±</w:t>
            </w:r>
            <w:r>
              <w:t xml:space="preserve"> 0.86</w:t>
            </w:r>
          </w:p>
        </w:tc>
        <w:tc>
          <w:tcPr>
            <w:tcW w:w="1363" w:type="pct"/>
          </w:tcPr>
          <w:p w14:paraId="1F7FB0D5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19.73 </w:t>
            </w:r>
            <w:r>
              <w:rPr>
                <w:rFonts w:ascii="Cambria" w:hAnsi="Cambria"/>
              </w:rPr>
              <w:t>±</w:t>
            </w:r>
            <w:r>
              <w:t xml:space="preserve"> 0.66</w:t>
            </w:r>
          </w:p>
        </w:tc>
        <w:tc>
          <w:tcPr>
            <w:tcW w:w="940" w:type="pct"/>
          </w:tcPr>
          <w:p w14:paraId="00AF9AC6" w14:textId="77777777" w:rsidR="00D67906" w:rsidRPr="001C2885" w:rsidRDefault="00D67906" w:rsidP="00C667E9">
            <w:pPr>
              <w:contextualSpacing/>
              <w:jc w:val="both"/>
            </w:pPr>
            <w:r>
              <w:t xml:space="preserve">20.04 </w:t>
            </w:r>
            <w:r>
              <w:rPr>
                <w:rFonts w:ascii="Cambria" w:hAnsi="Cambria"/>
              </w:rPr>
              <w:t>±</w:t>
            </w:r>
            <w:r>
              <w:t xml:space="preserve"> 0.50</w:t>
            </w:r>
          </w:p>
        </w:tc>
        <w:tc>
          <w:tcPr>
            <w:tcW w:w="667" w:type="pct"/>
          </w:tcPr>
          <w:p w14:paraId="6BD144AA" w14:textId="77777777" w:rsidR="00D67906" w:rsidRPr="001C2885" w:rsidRDefault="00D67906" w:rsidP="00C667E9">
            <w:pPr>
              <w:contextualSpacing/>
              <w:jc w:val="both"/>
            </w:pPr>
            <w:r>
              <w:t>0.919</w:t>
            </w:r>
          </w:p>
        </w:tc>
      </w:tr>
      <w:tr w:rsidR="00D67906" w14:paraId="5B5C1D57" w14:textId="77777777" w:rsidTr="00C667E9">
        <w:tc>
          <w:tcPr>
            <w:tcW w:w="808" w:type="pct"/>
            <w:tcBorders>
              <w:bottom w:val="single" w:sz="4" w:space="0" w:color="auto"/>
            </w:tcBorders>
          </w:tcPr>
          <w:p w14:paraId="101CF9A9" w14:textId="77777777" w:rsidR="00D67906" w:rsidRPr="0078534D" w:rsidRDefault="00D67906" w:rsidP="00C667E9">
            <w:pPr>
              <w:contextualSpacing/>
              <w:jc w:val="both"/>
              <w:rPr>
                <w:bCs/>
                <w:vertAlign w:val="superscript"/>
              </w:rPr>
            </w:pPr>
            <w:r>
              <w:t>ADI</w:t>
            </w:r>
            <w:r w:rsidRPr="00101DDE">
              <w:t xml:space="preserve"> (</w:t>
            </w:r>
            <w:proofErr w:type="gramStart"/>
            <w:r w:rsidRPr="00101DDE">
              <w:t>kg)</w:t>
            </w:r>
            <w:r>
              <w:rPr>
                <w:vertAlign w:val="superscript"/>
              </w:rPr>
              <w:t>5</w:t>
            </w:r>
            <w:proofErr w:type="gramEnd"/>
          </w:p>
        </w:tc>
        <w:tc>
          <w:tcPr>
            <w:tcW w:w="1222" w:type="pct"/>
            <w:tcBorders>
              <w:bottom w:val="single" w:sz="4" w:space="0" w:color="auto"/>
            </w:tcBorders>
          </w:tcPr>
          <w:p w14:paraId="42A27C3F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2.22 ± 0.09</w:t>
            </w:r>
            <w:r w:rsidRPr="001C2885">
              <w:rPr>
                <w:vertAlign w:val="superscript"/>
              </w:rPr>
              <w:t>a</w:t>
            </w:r>
          </w:p>
        </w:tc>
        <w:tc>
          <w:tcPr>
            <w:tcW w:w="1363" w:type="pct"/>
            <w:tcBorders>
              <w:bottom w:val="single" w:sz="4" w:space="0" w:color="auto"/>
            </w:tcBorders>
          </w:tcPr>
          <w:p w14:paraId="6E854B09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2.86 ± 0.09</w:t>
            </w:r>
            <w:r w:rsidRPr="001C2885">
              <w:rPr>
                <w:vertAlign w:val="superscript"/>
              </w:rPr>
              <w:t>b</w:t>
            </w:r>
          </w:p>
        </w:tc>
        <w:tc>
          <w:tcPr>
            <w:tcW w:w="940" w:type="pct"/>
            <w:tcBorders>
              <w:bottom w:val="single" w:sz="4" w:space="0" w:color="auto"/>
            </w:tcBorders>
          </w:tcPr>
          <w:p w14:paraId="0A9C836C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3.62 ± 0.09</w:t>
            </w:r>
            <w:r w:rsidRPr="001C2885">
              <w:rPr>
                <w:vertAlign w:val="superscript"/>
              </w:rPr>
              <w:t>c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316A701F" w14:textId="77777777" w:rsidR="00D67906" w:rsidRDefault="00D67906" w:rsidP="00C667E9">
            <w:pPr>
              <w:contextualSpacing/>
              <w:jc w:val="both"/>
              <w:rPr>
                <w:bCs/>
              </w:rPr>
            </w:pPr>
            <w:r w:rsidRPr="001C2885">
              <w:t>&lt; 0.001</w:t>
            </w:r>
          </w:p>
        </w:tc>
      </w:tr>
      <w:tr w:rsidR="00D67906" w14:paraId="3C64DD2E" w14:textId="77777777" w:rsidTr="00C667E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7DE88C4" w14:textId="77777777" w:rsidR="00D67906" w:rsidRPr="001C2885" w:rsidRDefault="00D67906" w:rsidP="00C667E9">
            <w:pPr>
              <w:contextualSpacing/>
              <w:jc w:val="both"/>
            </w:pPr>
            <w:r w:rsidRPr="001C2885">
              <w:rPr>
                <w:vertAlign w:val="superscript"/>
              </w:rPr>
              <w:t>1</w:t>
            </w:r>
            <w:r w:rsidRPr="001C2885">
              <w:t xml:space="preserve">Selected ewes chosen based on ewes with highest (least efficient), middle (moderately efficient), and lowest (most efficient) RFI values (n = 18) </w:t>
            </w:r>
            <w:r>
              <w:t>on</w:t>
            </w:r>
            <w:r w:rsidRPr="001C2885">
              <w:t xml:space="preserve"> the forage diet.  </w:t>
            </w:r>
          </w:p>
          <w:p w14:paraId="2F31B234" w14:textId="77777777" w:rsidR="00D67906" w:rsidRDefault="00D67906" w:rsidP="00C667E9">
            <w:pPr>
              <w:contextualSpacing/>
              <w:jc w:val="both"/>
            </w:pPr>
            <w:r w:rsidRPr="001C2885">
              <w:rPr>
                <w:vertAlign w:val="superscript"/>
              </w:rPr>
              <w:t xml:space="preserve">2abc </w:t>
            </w:r>
            <w:r w:rsidRPr="001C2885">
              <w:t>Different subscripts denote significant difference</w:t>
            </w:r>
            <w:r>
              <w:t>s</w:t>
            </w:r>
            <w:r w:rsidRPr="001C2885">
              <w:t xml:space="preserve"> (</w:t>
            </w:r>
            <w:r w:rsidRPr="001C2885">
              <w:rPr>
                <w:i/>
                <w:iCs/>
              </w:rPr>
              <w:t>P</w:t>
            </w:r>
            <w:r w:rsidRPr="001C2885">
              <w:t xml:space="preserve"> &lt; 0.05) among selected ewe groups.</w:t>
            </w:r>
          </w:p>
          <w:p w14:paraId="208E370E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3</w:t>
            </w:r>
            <w:r>
              <w:t>RFI = Residual feed intake.</w:t>
            </w:r>
          </w:p>
          <w:p w14:paraId="0AE2D67A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4</w:t>
            </w:r>
            <w:r>
              <w:t>MMWT = Metabolic mid-weight</w:t>
            </w:r>
            <w:r>
              <w:rPr>
                <w:vertAlign w:val="superscript"/>
              </w:rPr>
              <w:t>0.75</w:t>
            </w:r>
            <w:r>
              <w:t>.</w:t>
            </w:r>
          </w:p>
          <w:p w14:paraId="3B4AB740" w14:textId="77777777" w:rsidR="00D67906" w:rsidRPr="0078534D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5</w:t>
            </w:r>
            <w:r>
              <w:t xml:space="preserve">ADI = Average daily intake. </w:t>
            </w:r>
          </w:p>
        </w:tc>
      </w:tr>
    </w:tbl>
    <w:p w14:paraId="0485F9C4" w14:textId="77777777" w:rsidR="00D67906" w:rsidRPr="0051667B" w:rsidRDefault="00D67906" w:rsidP="00D67906">
      <w:pPr>
        <w:spacing w:after="0"/>
        <w:ind w:left="360"/>
        <w:contextualSpacing/>
        <w:jc w:val="both"/>
      </w:pPr>
    </w:p>
    <w:p w14:paraId="22CB95B1" w14:textId="77777777" w:rsidR="00D67906" w:rsidRPr="0051667B" w:rsidRDefault="00D67906" w:rsidP="00D67906">
      <w:pPr>
        <w:spacing w:after="0"/>
        <w:contextualSpacing/>
        <w:jc w:val="both"/>
      </w:pPr>
    </w:p>
    <w:p w14:paraId="773A77B2" w14:textId="77777777" w:rsidR="00D67906" w:rsidRDefault="00D67906" w:rsidP="00D67906">
      <w:pPr>
        <w:spacing w:after="0"/>
        <w:contextualSpacing/>
        <w:jc w:val="both"/>
      </w:pPr>
      <w:r w:rsidRPr="001C2885">
        <w:rPr>
          <w:noProof/>
          <w:lang w:eastAsia="en-US"/>
        </w:rPr>
        <w:drawing>
          <wp:inline distT="0" distB="0" distL="0" distR="0" wp14:anchorId="3CAF7A2A" wp14:editId="32EE6EA2">
            <wp:extent cx="5943600" cy="2286000"/>
            <wp:effectExtent l="0" t="0" r="25400" b="2540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90EE40C" w14:textId="77777777" w:rsidR="00D67906" w:rsidRDefault="00D67906" w:rsidP="00D67906">
      <w:pPr>
        <w:spacing w:after="0"/>
        <w:contextualSpacing/>
        <w:jc w:val="both"/>
        <w:rPr>
          <w:bCs/>
        </w:rPr>
      </w:pPr>
      <w:r w:rsidRPr="001C2885">
        <w:rPr>
          <w:b/>
          <w:bCs/>
        </w:rPr>
        <w:t xml:space="preserve">Figure </w:t>
      </w:r>
      <w:r>
        <w:rPr>
          <w:b/>
          <w:bCs/>
        </w:rPr>
        <w:t>3</w:t>
      </w:r>
      <w:r w:rsidRPr="00A3046D">
        <w:rPr>
          <w:bCs/>
        </w:rPr>
        <w:t xml:space="preserve">.  </w:t>
      </w:r>
      <w:r>
        <w:rPr>
          <w:bCs/>
        </w:rPr>
        <w:t>Selected ewe (n = 18) residual feed intake (</w:t>
      </w:r>
      <w:r w:rsidRPr="003D2183">
        <w:rPr>
          <w:b/>
          <w:bCs/>
        </w:rPr>
        <w:t>RFI</w:t>
      </w:r>
      <w:r>
        <w:rPr>
          <w:bCs/>
        </w:rPr>
        <w:t xml:space="preserve">) on concentrate and forage rations among ewes </w:t>
      </w:r>
      <w:r w:rsidRPr="009C0CB7">
        <w:rPr>
          <w:b/>
          <w:bCs/>
        </w:rPr>
        <w:t xml:space="preserve">LRFI </w:t>
      </w:r>
      <w:r>
        <w:rPr>
          <w:bCs/>
        </w:rPr>
        <w:t xml:space="preserve">(low residual feed intake; n = 6), </w:t>
      </w:r>
      <w:r w:rsidRPr="009C0CB7">
        <w:rPr>
          <w:b/>
          <w:bCs/>
        </w:rPr>
        <w:t>MRFI</w:t>
      </w:r>
      <w:r>
        <w:rPr>
          <w:bCs/>
        </w:rPr>
        <w:t xml:space="preserve"> (moderate residual feed intake; n = 6), and </w:t>
      </w:r>
      <w:r w:rsidRPr="009C0CB7">
        <w:rPr>
          <w:b/>
          <w:bCs/>
        </w:rPr>
        <w:t>HRFI</w:t>
      </w:r>
      <w:r>
        <w:rPr>
          <w:bCs/>
        </w:rPr>
        <w:t xml:space="preserve"> (high residual feed intake; n = 6).  </w:t>
      </w:r>
      <w:r w:rsidRPr="00A3046D">
        <w:rPr>
          <w:bCs/>
        </w:rPr>
        <w:t xml:space="preserve">There was a positive correlation (r = 0.69; </w:t>
      </w:r>
      <w:r w:rsidRPr="00A3046D">
        <w:rPr>
          <w:bCs/>
          <w:i/>
          <w:iCs/>
        </w:rPr>
        <w:t>P</w:t>
      </w:r>
      <w:r w:rsidRPr="00A3046D">
        <w:rPr>
          <w:bCs/>
        </w:rPr>
        <w:t xml:space="preserve"> = 0.001) between </w:t>
      </w:r>
      <w:r w:rsidRPr="007920B6">
        <w:rPr>
          <w:b/>
          <w:bCs/>
        </w:rPr>
        <w:t xml:space="preserve">RFI </w:t>
      </w:r>
      <w:r w:rsidRPr="00A3046D">
        <w:rPr>
          <w:bCs/>
        </w:rPr>
        <w:t>rankings from the concentrate and forage rations among the selected ewes (n = 18</w:t>
      </w:r>
      <w:r>
        <w:rPr>
          <w:bCs/>
        </w:rPr>
        <w:t xml:space="preserve">). </w:t>
      </w:r>
    </w:p>
    <w:p w14:paraId="6B4F67EA" w14:textId="77777777" w:rsidR="00A73B74" w:rsidRDefault="00A73B74" w:rsidP="00D67906">
      <w:pPr>
        <w:spacing w:after="0"/>
        <w:contextualSpacing/>
        <w:jc w:val="both"/>
        <w:rPr>
          <w:bCs/>
        </w:rPr>
      </w:pPr>
    </w:p>
    <w:p w14:paraId="605267C1" w14:textId="77777777" w:rsidR="00A73B74" w:rsidRDefault="00A73B74" w:rsidP="00D67906">
      <w:pPr>
        <w:spacing w:after="0"/>
        <w:contextualSpacing/>
        <w:jc w:val="both"/>
        <w:rPr>
          <w:bCs/>
        </w:rPr>
      </w:pPr>
    </w:p>
    <w:p w14:paraId="546338BE" w14:textId="77777777" w:rsidR="00A73B74" w:rsidRDefault="00A73B74" w:rsidP="00D67906">
      <w:pPr>
        <w:spacing w:after="0"/>
        <w:contextualSpacing/>
        <w:jc w:val="both"/>
        <w:rPr>
          <w:bCs/>
        </w:rPr>
      </w:pPr>
    </w:p>
    <w:p w14:paraId="7D84C4DC" w14:textId="77777777" w:rsidR="00A73B74" w:rsidRDefault="00A73B74" w:rsidP="00D67906">
      <w:pPr>
        <w:spacing w:after="0"/>
        <w:contextualSpacing/>
        <w:jc w:val="both"/>
        <w:rPr>
          <w:bCs/>
        </w:rPr>
      </w:pPr>
      <w:bookmarkStart w:id="0" w:name="_GoBack"/>
      <w:bookmarkEnd w:id="0"/>
    </w:p>
    <w:p w14:paraId="69812514" w14:textId="77777777" w:rsidR="00D67906" w:rsidRPr="00C41A81" w:rsidRDefault="00D67906" w:rsidP="00D67906">
      <w:pPr>
        <w:spacing w:after="0"/>
        <w:contextualSpacing/>
        <w:jc w:val="both"/>
        <w:rPr>
          <w:bCs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1530"/>
        <w:gridCol w:w="1588"/>
        <w:gridCol w:w="1915"/>
        <w:gridCol w:w="1915"/>
      </w:tblGrid>
      <w:tr w:rsidR="00D67906" w14:paraId="17DBD026" w14:textId="77777777" w:rsidTr="00C667E9"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1A786588" w14:textId="77777777" w:rsidR="00D67906" w:rsidRDefault="00D67906" w:rsidP="00C667E9">
            <w:pPr>
              <w:contextualSpacing/>
              <w:jc w:val="both"/>
            </w:pPr>
            <w:r w:rsidRPr="00862659">
              <w:rPr>
                <w:b/>
              </w:rPr>
              <w:t xml:space="preserve">Table </w:t>
            </w:r>
            <w:r>
              <w:rPr>
                <w:b/>
              </w:rPr>
              <w:t>3</w:t>
            </w:r>
            <w:r>
              <w:t>.  Reproductive parameters among residual feed intake (</w:t>
            </w:r>
            <w:r w:rsidRPr="00075669">
              <w:rPr>
                <w:b/>
              </w:rPr>
              <w:t>RFI</w:t>
            </w:r>
            <w:r>
              <w:t xml:space="preserve">) </w:t>
            </w:r>
            <w:proofErr w:type="gramStart"/>
            <w:r>
              <w:t>selected .</w:t>
            </w:r>
            <w:proofErr w:type="gramEnd"/>
            <w:r>
              <w:t xml:space="preserve">  </w:t>
            </w:r>
          </w:p>
        </w:tc>
      </w:tr>
      <w:tr w:rsidR="00D67906" w14:paraId="30554B67" w14:textId="77777777" w:rsidTr="00C667E9">
        <w:tc>
          <w:tcPr>
            <w:tcW w:w="1372" w:type="pct"/>
            <w:tcBorders>
              <w:top w:val="double" w:sz="4" w:space="0" w:color="auto"/>
              <w:bottom w:val="single" w:sz="4" w:space="0" w:color="auto"/>
            </w:tcBorders>
          </w:tcPr>
          <w:p w14:paraId="66CD0F0E" w14:textId="77777777" w:rsidR="00D67906" w:rsidRPr="00243946" w:rsidRDefault="00D67906" w:rsidP="00C667E9">
            <w:pPr>
              <w:contextualSpacing/>
              <w:jc w:val="center"/>
              <w:rPr>
                <w:b/>
              </w:rPr>
            </w:pPr>
            <w:r w:rsidRPr="00243946">
              <w:rPr>
                <w:b/>
              </w:rPr>
              <w:t>Item</w:t>
            </w:r>
          </w:p>
        </w:tc>
        <w:tc>
          <w:tcPr>
            <w:tcW w:w="799" w:type="pct"/>
            <w:tcBorders>
              <w:top w:val="double" w:sz="4" w:space="0" w:color="auto"/>
              <w:bottom w:val="single" w:sz="4" w:space="0" w:color="auto"/>
            </w:tcBorders>
          </w:tcPr>
          <w:p w14:paraId="63C77057" w14:textId="77777777" w:rsidR="00D67906" w:rsidRDefault="00D67906" w:rsidP="00C667E9">
            <w:pPr>
              <w:contextualSpacing/>
              <w:jc w:val="center"/>
              <w:rPr>
                <w:b/>
              </w:rPr>
            </w:pPr>
            <w:r w:rsidRPr="00243946">
              <w:rPr>
                <w:b/>
              </w:rPr>
              <w:t>LRFI</w:t>
            </w:r>
            <w:r w:rsidRPr="00313C07">
              <w:rPr>
                <w:b/>
                <w:vertAlign w:val="superscript"/>
              </w:rPr>
              <w:t>1</w:t>
            </w:r>
            <w:proofErr w:type="gramStart"/>
            <w:r>
              <w:rPr>
                <w:b/>
                <w:vertAlign w:val="superscript"/>
              </w:rPr>
              <w:t>,2</w:t>
            </w:r>
            <w:proofErr w:type="gramEnd"/>
          </w:p>
          <w:p w14:paraId="752D94CA" w14:textId="77777777" w:rsidR="00D67906" w:rsidRPr="00243946" w:rsidRDefault="00D67906" w:rsidP="00C667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= 6)</w:t>
            </w:r>
          </w:p>
        </w:tc>
        <w:tc>
          <w:tcPr>
            <w:tcW w:w="829" w:type="pct"/>
            <w:tcBorders>
              <w:top w:val="double" w:sz="4" w:space="0" w:color="auto"/>
              <w:bottom w:val="single" w:sz="4" w:space="0" w:color="auto"/>
            </w:tcBorders>
          </w:tcPr>
          <w:p w14:paraId="70B20BC1" w14:textId="77777777" w:rsidR="00D67906" w:rsidRDefault="00D67906" w:rsidP="00C667E9">
            <w:pPr>
              <w:contextualSpacing/>
              <w:jc w:val="center"/>
              <w:rPr>
                <w:b/>
              </w:rPr>
            </w:pPr>
            <w:r w:rsidRPr="00243946">
              <w:rPr>
                <w:b/>
              </w:rPr>
              <w:t>MRFI</w:t>
            </w:r>
            <w:r w:rsidRPr="00F45B7F">
              <w:rPr>
                <w:b/>
                <w:vertAlign w:val="superscript"/>
              </w:rPr>
              <w:t>1</w:t>
            </w:r>
            <w:proofErr w:type="gramStart"/>
            <w:r>
              <w:rPr>
                <w:b/>
                <w:vertAlign w:val="superscript"/>
              </w:rPr>
              <w:t>,2</w:t>
            </w:r>
            <w:proofErr w:type="gramEnd"/>
          </w:p>
          <w:p w14:paraId="7979ED69" w14:textId="77777777" w:rsidR="00D67906" w:rsidRPr="00243946" w:rsidRDefault="00D67906" w:rsidP="00C667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= 6)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</w:tcPr>
          <w:p w14:paraId="5595D08D" w14:textId="77777777" w:rsidR="00D67906" w:rsidRDefault="00D67906" w:rsidP="00C667E9">
            <w:pPr>
              <w:contextualSpacing/>
              <w:jc w:val="center"/>
              <w:rPr>
                <w:b/>
              </w:rPr>
            </w:pPr>
            <w:r w:rsidRPr="00243946">
              <w:rPr>
                <w:b/>
              </w:rPr>
              <w:t>HRFI</w:t>
            </w:r>
            <w:r w:rsidRPr="00F45B7F">
              <w:rPr>
                <w:b/>
                <w:vertAlign w:val="superscript"/>
              </w:rPr>
              <w:t>1</w:t>
            </w:r>
            <w:proofErr w:type="gramStart"/>
            <w:r>
              <w:rPr>
                <w:b/>
                <w:vertAlign w:val="superscript"/>
              </w:rPr>
              <w:t>,2</w:t>
            </w:r>
            <w:proofErr w:type="gramEnd"/>
          </w:p>
          <w:p w14:paraId="6F6E915A" w14:textId="77777777" w:rsidR="00D67906" w:rsidRPr="00243946" w:rsidRDefault="00D67906" w:rsidP="00C667E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</w:rPr>
              <w:t xml:space="preserve"> = 6)</w:t>
            </w:r>
          </w:p>
        </w:tc>
        <w:tc>
          <w:tcPr>
            <w:tcW w:w="1000" w:type="pct"/>
            <w:tcBorders>
              <w:top w:val="double" w:sz="4" w:space="0" w:color="auto"/>
              <w:bottom w:val="single" w:sz="4" w:space="0" w:color="auto"/>
            </w:tcBorders>
          </w:tcPr>
          <w:p w14:paraId="7FCB2B9E" w14:textId="77777777" w:rsidR="00D67906" w:rsidRPr="00243946" w:rsidRDefault="00D67906" w:rsidP="00C667E9">
            <w:pPr>
              <w:contextualSpacing/>
              <w:jc w:val="center"/>
              <w:rPr>
                <w:b/>
              </w:rPr>
            </w:pPr>
            <w:r w:rsidRPr="00243946">
              <w:rPr>
                <w:b/>
                <w:i/>
              </w:rPr>
              <w:t>P</w:t>
            </w:r>
            <w:r w:rsidRPr="00243946">
              <w:rPr>
                <w:b/>
              </w:rPr>
              <w:t>-value</w:t>
            </w:r>
          </w:p>
        </w:tc>
      </w:tr>
      <w:tr w:rsidR="00D67906" w14:paraId="06DDA569" w14:textId="77777777" w:rsidTr="00C667E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3A83C3" w14:textId="77777777" w:rsidR="00D67906" w:rsidRPr="00F5020D" w:rsidRDefault="00D67906" w:rsidP="00C667E9">
            <w:pPr>
              <w:contextualSpacing/>
              <w:jc w:val="both"/>
            </w:pPr>
            <w:r>
              <w:rPr>
                <w:i/>
              </w:rPr>
              <w:t>Ewes</w:t>
            </w:r>
            <w:r>
              <w:t xml:space="preserve"> (n = 14)</w:t>
            </w:r>
          </w:p>
        </w:tc>
      </w:tr>
      <w:tr w:rsidR="00D67906" w14:paraId="0DF25C30" w14:textId="77777777" w:rsidTr="00C667E9">
        <w:tc>
          <w:tcPr>
            <w:tcW w:w="1372" w:type="pct"/>
            <w:tcBorders>
              <w:top w:val="single" w:sz="4" w:space="0" w:color="auto"/>
            </w:tcBorders>
          </w:tcPr>
          <w:p w14:paraId="001F7142" w14:textId="77777777" w:rsidR="00D67906" w:rsidRDefault="00D67906" w:rsidP="00C667E9">
            <w:pPr>
              <w:contextualSpacing/>
              <w:jc w:val="both"/>
            </w:pPr>
            <w:r>
              <w:t>Pregnant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5148A8B9" w14:textId="77777777" w:rsidR="00D67906" w:rsidRDefault="00D67906" w:rsidP="00C667E9">
            <w:pPr>
              <w:contextualSpacing/>
              <w:jc w:val="center"/>
            </w:pPr>
            <w:r>
              <w:t xml:space="preserve">1.00 </w:t>
            </w:r>
            <w:r>
              <w:rPr>
                <w:rFonts w:ascii="Cambria" w:hAnsi="Cambria"/>
              </w:rPr>
              <w:t>±</w:t>
            </w:r>
            <w:r>
              <w:t xml:space="preserve"> 0.00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14:paraId="6B7DA071" w14:textId="77777777" w:rsidR="00D67906" w:rsidRDefault="00D67906" w:rsidP="00C667E9">
            <w:pPr>
              <w:contextualSpacing/>
              <w:jc w:val="center"/>
            </w:pPr>
            <w:r>
              <w:t xml:space="preserve">1.00 </w:t>
            </w:r>
            <w:r>
              <w:rPr>
                <w:rFonts w:ascii="Cambria" w:hAnsi="Cambria"/>
              </w:rPr>
              <w:t>±</w:t>
            </w:r>
            <w:r>
              <w:t xml:space="preserve"> 0.00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D80F21B" w14:textId="77777777" w:rsidR="00D67906" w:rsidRDefault="00D67906" w:rsidP="00C667E9">
            <w:pPr>
              <w:contextualSpacing/>
              <w:jc w:val="center"/>
            </w:pPr>
            <w:r>
              <w:t xml:space="preserve">0.83 </w:t>
            </w:r>
            <w:r>
              <w:rPr>
                <w:rFonts w:ascii="Cambria" w:hAnsi="Cambria"/>
              </w:rPr>
              <w:t>±</w:t>
            </w:r>
            <w:r>
              <w:t xml:space="preserve"> 0.17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66D4D4BE" w14:textId="77777777" w:rsidR="00D67906" w:rsidRDefault="00D67906" w:rsidP="00C667E9">
            <w:pPr>
              <w:contextualSpacing/>
              <w:jc w:val="center"/>
            </w:pPr>
            <w:r>
              <w:t>0.391</w:t>
            </w:r>
          </w:p>
        </w:tc>
      </w:tr>
      <w:tr w:rsidR="00D67906" w14:paraId="4EA35ECB" w14:textId="77777777" w:rsidTr="00C667E9">
        <w:tc>
          <w:tcPr>
            <w:tcW w:w="1372" w:type="pct"/>
          </w:tcPr>
          <w:p w14:paraId="25C744C7" w14:textId="77777777" w:rsidR="00D67906" w:rsidRPr="001831A0" w:rsidRDefault="00D67906" w:rsidP="00C667E9">
            <w:pPr>
              <w:contextualSpacing/>
              <w:jc w:val="both"/>
              <w:rPr>
                <w:vertAlign w:val="superscript"/>
              </w:rPr>
            </w:pPr>
            <w:r>
              <w:t>Date Bred</w:t>
            </w:r>
            <w:r>
              <w:rPr>
                <w:vertAlign w:val="superscript"/>
              </w:rPr>
              <w:t>4</w:t>
            </w:r>
          </w:p>
        </w:tc>
        <w:tc>
          <w:tcPr>
            <w:tcW w:w="799" w:type="pct"/>
          </w:tcPr>
          <w:p w14:paraId="68A647A1" w14:textId="77777777" w:rsidR="00D67906" w:rsidRDefault="00D67906" w:rsidP="00C667E9">
            <w:pPr>
              <w:contextualSpacing/>
              <w:jc w:val="center"/>
            </w:pPr>
            <w:r>
              <w:t xml:space="preserve">4.33 </w:t>
            </w:r>
            <w:r>
              <w:rPr>
                <w:rFonts w:ascii="Cambria" w:hAnsi="Cambria"/>
              </w:rPr>
              <w:t>±</w:t>
            </w:r>
            <w:r>
              <w:t xml:space="preserve"> 1.76</w:t>
            </w:r>
          </w:p>
        </w:tc>
        <w:tc>
          <w:tcPr>
            <w:tcW w:w="829" w:type="pct"/>
          </w:tcPr>
          <w:p w14:paraId="4E16D450" w14:textId="77777777" w:rsidR="00D67906" w:rsidRDefault="00D67906" w:rsidP="00C667E9">
            <w:pPr>
              <w:contextualSpacing/>
              <w:jc w:val="center"/>
            </w:pPr>
            <w:r>
              <w:t xml:space="preserve">6.75 </w:t>
            </w:r>
            <w:r>
              <w:rPr>
                <w:rFonts w:ascii="Cambria" w:hAnsi="Cambria"/>
              </w:rPr>
              <w:t>±</w:t>
            </w:r>
            <w:r>
              <w:t xml:space="preserve"> 3.04</w:t>
            </w:r>
          </w:p>
        </w:tc>
        <w:tc>
          <w:tcPr>
            <w:tcW w:w="1000" w:type="pct"/>
          </w:tcPr>
          <w:p w14:paraId="5CDBDF52" w14:textId="77777777" w:rsidR="00D67906" w:rsidRDefault="00D67906" w:rsidP="00C667E9">
            <w:pPr>
              <w:contextualSpacing/>
              <w:jc w:val="center"/>
            </w:pPr>
            <w:r>
              <w:t xml:space="preserve">2.00 </w:t>
            </w:r>
            <w:r>
              <w:rPr>
                <w:rFonts w:ascii="Cambria" w:hAnsi="Cambria"/>
              </w:rPr>
              <w:t>±</w:t>
            </w:r>
            <w:r>
              <w:t xml:space="preserve"> 0.41</w:t>
            </w:r>
          </w:p>
        </w:tc>
        <w:tc>
          <w:tcPr>
            <w:tcW w:w="1000" w:type="pct"/>
          </w:tcPr>
          <w:p w14:paraId="7A1339F5" w14:textId="77777777" w:rsidR="00D67906" w:rsidRDefault="00D67906" w:rsidP="00C667E9">
            <w:pPr>
              <w:contextualSpacing/>
              <w:jc w:val="center"/>
            </w:pPr>
            <w:r>
              <w:t>0.337</w:t>
            </w:r>
          </w:p>
        </w:tc>
      </w:tr>
      <w:tr w:rsidR="00D67906" w14:paraId="0C52EE2F" w14:textId="77777777" w:rsidTr="00C667E9">
        <w:tc>
          <w:tcPr>
            <w:tcW w:w="1372" w:type="pct"/>
          </w:tcPr>
          <w:p w14:paraId="6C787613" w14:textId="77777777" w:rsidR="00D67906" w:rsidRDefault="00D67906" w:rsidP="00C667E9">
            <w:pPr>
              <w:contextualSpacing/>
              <w:jc w:val="both"/>
            </w:pPr>
            <w:r>
              <w:t>Puberty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799" w:type="pct"/>
          </w:tcPr>
          <w:p w14:paraId="6456990E" w14:textId="77777777" w:rsidR="00D67906" w:rsidRDefault="00D67906" w:rsidP="00C667E9">
            <w:pPr>
              <w:contextualSpacing/>
              <w:jc w:val="center"/>
            </w:pPr>
            <w:r>
              <w:t xml:space="preserve">50.33 </w:t>
            </w:r>
            <w:r>
              <w:rPr>
                <w:rFonts w:ascii="Cambria" w:hAnsi="Cambria"/>
              </w:rPr>
              <w:t>±</w:t>
            </w:r>
            <w:r>
              <w:t xml:space="preserve"> 7.38</w:t>
            </w:r>
          </w:p>
        </w:tc>
        <w:tc>
          <w:tcPr>
            <w:tcW w:w="829" w:type="pct"/>
          </w:tcPr>
          <w:p w14:paraId="693AAC7D" w14:textId="77777777" w:rsidR="00D67906" w:rsidRDefault="00D67906" w:rsidP="00C667E9">
            <w:pPr>
              <w:contextualSpacing/>
              <w:jc w:val="center"/>
            </w:pPr>
            <w:r>
              <w:t xml:space="preserve">56.17 </w:t>
            </w:r>
            <w:r>
              <w:rPr>
                <w:rFonts w:ascii="Cambria" w:hAnsi="Cambria"/>
              </w:rPr>
              <w:t>±</w:t>
            </w:r>
            <w:r>
              <w:t xml:space="preserve"> 5.83</w:t>
            </w:r>
          </w:p>
        </w:tc>
        <w:tc>
          <w:tcPr>
            <w:tcW w:w="1000" w:type="pct"/>
          </w:tcPr>
          <w:p w14:paraId="0AF821A9" w14:textId="77777777" w:rsidR="00D67906" w:rsidRDefault="00D67906" w:rsidP="00C667E9">
            <w:pPr>
              <w:contextualSpacing/>
              <w:jc w:val="center"/>
            </w:pPr>
            <w:r>
              <w:t xml:space="preserve">56.17 </w:t>
            </w:r>
            <w:r>
              <w:rPr>
                <w:rFonts w:ascii="Cambria" w:hAnsi="Cambria"/>
              </w:rPr>
              <w:t>±</w:t>
            </w:r>
            <w:r>
              <w:t xml:space="preserve"> 5.83</w:t>
            </w:r>
          </w:p>
        </w:tc>
        <w:tc>
          <w:tcPr>
            <w:tcW w:w="1000" w:type="pct"/>
          </w:tcPr>
          <w:p w14:paraId="6C301999" w14:textId="77777777" w:rsidR="00D67906" w:rsidRDefault="00D67906" w:rsidP="00C667E9">
            <w:pPr>
              <w:contextualSpacing/>
              <w:jc w:val="center"/>
            </w:pPr>
            <w:r>
              <w:t>0.761</w:t>
            </w:r>
          </w:p>
        </w:tc>
      </w:tr>
      <w:tr w:rsidR="00D67906" w14:paraId="39543366" w14:textId="77777777" w:rsidTr="00C667E9">
        <w:tc>
          <w:tcPr>
            <w:tcW w:w="1372" w:type="pct"/>
          </w:tcPr>
          <w:p w14:paraId="64882E41" w14:textId="77777777" w:rsidR="00D67906" w:rsidRDefault="00D67906" w:rsidP="00C667E9">
            <w:pPr>
              <w:contextualSpacing/>
            </w:pPr>
            <w:r>
              <w:t>Mothering ability (1 -4)</w:t>
            </w:r>
          </w:p>
        </w:tc>
        <w:tc>
          <w:tcPr>
            <w:tcW w:w="799" w:type="pct"/>
          </w:tcPr>
          <w:p w14:paraId="576361C2" w14:textId="77777777" w:rsidR="00D67906" w:rsidRDefault="00D67906" w:rsidP="00C667E9">
            <w:pPr>
              <w:contextualSpacing/>
              <w:jc w:val="center"/>
            </w:pPr>
            <w:r>
              <w:t xml:space="preserve">3.33 </w:t>
            </w:r>
            <w:r>
              <w:rPr>
                <w:rFonts w:ascii="Cambria" w:hAnsi="Cambria"/>
              </w:rPr>
              <w:t>±</w:t>
            </w:r>
            <w:r>
              <w:t xml:space="preserve"> 0.33</w:t>
            </w:r>
          </w:p>
        </w:tc>
        <w:tc>
          <w:tcPr>
            <w:tcW w:w="829" w:type="pct"/>
          </w:tcPr>
          <w:p w14:paraId="1AAA29C5" w14:textId="77777777" w:rsidR="00D67906" w:rsidRDefault="00D67906" w:rsidP="00C667E9">
            <w:pPr>
              <w:contextualSpacing/>
              <w:jc w:val="center"/>
            </w:pPr>
            <w:r>
              <w:t xml:space="preserve">3.50 </w:t>
            </w:r>
            <w:r>
              <w:rPr>
                <w:rFonts w:ascii="Cambria" w:hAnsi="Cambria"/>
              </w:rPr>
              <w:t>±</w:t>
            </w:r>
            <w:r>
              <w:t xml:space="preserve"> 0.50</w:t>
            </w:r>
          </w:p>
        </w:tc>
        <w:tc>
          <w:tcPr>
            <w:tcW w:w="1000" w:type="pct"/>
          </w:tcPr>
          <w:p w14:paraId="0D111953" w14:textId="77777777" w:rsidR="00D67906" w:rsidRDefault="00D67906" w:rsidP="00C667E9">
            <w:pPr>
              <w:contextualSpacing/>
              <w:jc w:val="center"/>
            </w:pPr>
            <w:r>
              <w:t xml:space="preserve">3.25 </w:t>
            </w:r>
            <w:r>
              <w:rPr>
                <w:rFonts w:ascii="Cambria" w:hAnsi="Cambria"/>
              </w:rPr>
              <w:t>±</w:t>
            </w:r>
            <w:r>
              <w:t xml:space="preserve"> 0.25</w:t>
            </w:r>
          </w:p>
        </w:tc>
        <w:tc>
          <w:tcPr>
            <w:tcW w:w="1000" w:type="pct"/>
          </w:tcPr>
          <w:p w14:paraId="640545D0" w14:textId="77777777" w:rsidR="00D67906" w:rsidRDefault="00D67906" w:rsidP="00C667E9">
            <w:pPr>
              <w:contextualSpacing/>
              <w:jc w:val="center"/>
            </w:pPr>
            <w:r>
              <w:t>0.891</w:t>
            </w:r>
          </w:p>
        </w:tc>
      </w:tr>
      <w:tr w:rsidR="00D67906" w14:paraId="5F2423E5" w14:textId="77777777" w:rsidTr="00C667E9">
        <w:tc>
          <w:tcPr>
            <w:tcW w:w="1372" w:type="pct"/>
          </w:tcPr>
          <w:p w14:paraId="6E44AD0A" w14:textId="77777777" w:rsidR="00D67906" w:rsidRDefault="00D67906" w:rsidP="00C667E9">
            <w:pPr>
              <w:contextualSpacing/>
              <w:jc w:val="both"/>
            </w:pPr>
            <w:r>
              <w:t>Utter score (1 – 4)</w:t>
            </w:r>
          </w:p>
        </w:tc>
        <w:tc>
          <w:tcPr>
            <w:tcW w:w="799" w:type="pct"/>
          </w:tcPr>
          <w:p w14:paraId="5BAF426E" w14:textId="77777777" w:rsidR="00D67906" w:rsidRDefault="00D67906" w:rsidP="00C667E9">
            <w:pPr>
              <w:contextualSpacing/>
              <w:jc w:val="center"/>
            </w:pPr>
            <w:r>
              <w:t xml:space="preserve">3.00 </w:t>
            </w:r>
            <w:r>
              <w:rPr>
                <w:rFonts w:ascii="Cambria" w:hAnsi="Cambria"/>
              </w:rPr>
              <w:t>±</w:t>
            </w:r>
            <w:r>
              <w:t xml:space="preserve"> 0.00</w:t>
            </w:r>
          </w:p>
        </w:tc>
        <w:tc>
          <w:tcPr>
            <w:tcW w:w="829" w:type="pct"/>
          </w:tcPr>
          <w:p w14:paraId="6D946214" w14:textId="77777777" w:rsidR="00D67906" w:rsidRDefault="00D67906" w:rsidP="00C667E9">
            <w:pPr>
              <w:contextualSpacing/>
              <w:jc w:val="center"/>
            </w:pPr>
            <w:r>
              <w:t xml:space="preserve">3.25 </w:t>
            </w:r>
            <w:r>
              <w:rPr>
                <w:rFonts w:ascii="Cambria" w:hAnsi="Cambria"/>
              </w:rPr>
              <w:t>±</w:t>
            </w:r>
            <w:r>
              <w:t xml:space="preserve"> 0.25</w:t>
            </w:r>
          </w:p>
        </w:tc>
        <w:tc>
          <w:tcPr>
            <w:tcW w:w="1000" w:type="pct"/>
          </w:tcPr>
          <w:p w14:paraId="70839D96" w14:textId="77777777" w:rsidR="00D67906" w:rsidRDefault="00D67906" w:rsidP="00C667E9">
            <w:pPr>
              <w:contextualSpacing/>
              <w:jc w:val="center"/>
            </w:pPr>
            <w:r>
              <w:t xml:space="preserve">3.50 </w:t>
            </w:r>
            <w:r>
              <w:rPr>
                <w:rFonts w:ascii="Cambria" w:hAnsi="Cambria"/>
              </w:rPr>
              <w:t>±</w:t>
            </w:r>
            <w:r>
              <w:t xml:space="preserve"> 0.29</w:t>
            </w:r>
          </w:p>
        </w:tc>
        <w:tc>
          <w:tcPr>
            <w:tcW w:w="1000" w:type="pct"/>
          </w:tcPr>
          <w:p w14:paraId="04417B4E" w14:textId="77777777" w:rsidR="00D67906" w:rsidRDefault="00D67906" w:rsidP="00C667E9">
            <w:pPr>
              <w:contextualSpacing/>
              <w:jc w:val="center"/>
            </w:pPr>
            <w:r>
              <w:t>0.414</w:t>
            </w:r>
          </w:p>
        </w:tc>
      </w:tr>
      <w:tr w:rsidR="00D67906" w14:paraId="6A2D01EC" w14:textId="77777777" w:rsidTr="00C667E9">
        <w:tc>
          <w:tcPr>
            <w:tcW w:w="1372" w:type="pct"/>
            <w:tcBorders>
              <w:bottom w:val="single" w:sz="4" w:space="0" w:color="auto"/>
            </w:tcBorders>
          </w:tcPr>
          <w:p w14:paraId="0881E9C0" w14:textId="77777777" w:rsidR="00D67906" w:rsidRPr="001831A0" w:rsidRDefault="00D67906" w:rsidP="00C667E9">
            <w:pPr>
              <w:contextualSpacing/>
              <w:jc w:val="both"/>
              <w:rPr>
                <w:vertAlign w:val="superscript"/>
              </w:rPr>
            </w:pPr>
            <w:r>
              <w:t>Dystocia</w:t>
            </w:r>
            <w:r>
              <w:rPr>
                <w:vertAlign w:val="superscript"/>
              </w:rPr>
              <w:t>6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7AF13141" w14:textId="77777777" w:rsidR="00D67906" w:rsidRDefault="00D67906" w:rsidP="00C667E9">
            <w:pPr>
              <w:contextualSpacing/>
              <w:jc w:val="center"/>
            </w:pPr>
            <w:r>
              <w:t xml:space="preserve">0.25 </w:t>
            </w:r>
            <w:r>
              <w:rPr>
                <w:rFonts w:ascii="Cambria" w:hAnsi="Cambria"/>
              </w:rPr>
              <w:t>±</w:t>
            </w:r>
            <w:r>
              <w:t xml:space="preserve"> 0.25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11FB87E6" w14:textId="77777777" w:rsidR="00D67906" w:rsidRDefault="00D67906" w:rsidP="00C667E9">
            <w:pPr>
              <w:contextualSpacing/>
              <w:jc w:val="center"/>
            </w:pPr>
            <w:r>
              <w:t xml:space="preserve">0.50 </w:t>
            </w:r>
            <w:r>
              <w:rPr>
                <w:rFonts w:ascii="Cambria" w:hAnsi="Cambria"/>
              </w:rPr>
              <w:t>±</w:t>
            </w:r>
            <w:r>
              <w:t xml:space="preserve"> 0.22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9992AA3" w14:textId="77777777" w:rsidR="00D67906" w:rsidRDefault="00D67906" w:rsidP="00C667E9">
            <w:pPr>
              <w:contextualSpacing/>
              <w:jc w:val="center"/>
            </w:pPr>
            <w:r>
              <w:t xml:space="preserve">0.00 </w:t>
            </w:r>
            <w:r>
              <w:rPr>
                <w:rFonts w:ascii="Cambria" w:hAnsi="Cambria"/>
              </w:rPr>
              <w:t>±</w:t>
            </w:r>
            <w:r>
              <w:t xml:space="preserve"> 0.00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405B63D" w14:textId="77777777" w:rsidR="00D67906" w:rsidRDefault="00D67906" w:rsidP="00C667E9">
            <w:pPr>
              <w:contextualSpacing/>
              <w:jc w:val="center"/>
            </w:pPr>
            <w:r>
              <w:t>0.269</w:t>
            </w:r>
          </w:p>
        </w:tc>
      </w:tr>
      <w:tr w:rsidR="00D67906" w14:paraId="7D3396EB" w14:textId="77777777" w:rsidTr="00C667E9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AFAAAD" w14:textId="77777777" w:rsidR="00D67906" w:rsidRPr="00F5020D" w:rsidRDefault="00D67906" w:rsidP="00C667E9">
            <w:pPr>
              <w:contextualSpacing/>
            </w:pPr>
            <w:r>
              <w:rPr>
                <w:i/>
              </w:rPr>
              <w:t>Lambs</w:t>
            </w:r>
            <w:r>
              <w:t xml:space="preserve"> (n = 17)</w:t>
            </w:r>
          </w:p>
        </w:tc>
      </w:tr>
      <w:tr w:rsidR="00D67906" w14:paraId="3E4DD2B6" w14:textId="77777777" w:rsidTr="00C667E9">
        <w:tc>
          <w:tcPr>
            <w:tcW w:w="1372" w:type="pct"/>
          </w:tcPr>
          <w:p w14:paraId="3F31C10A" w14:textId="77777777" w:rsidR="00D67906" w:rsidRPr="001831A0" w:rsidRDefault="00D67906" w:rsidP="00C667E9">
            <w:pPr>
              <w:contextualSpacing/>
              <w:jc w:val="both"/>
              <w:rPr>
                <w:vertAlign w:val="superscript"/>
              </w:rPr>
            </w:pPr>
            <w:r>
              <w:t>Birth Type</w:t>
            </w:r>
            <w:r>
              <w:rPr>
                <w:vertAlign w:val="superscript"/>
              </w:rPr>
              <w:t>7</w:t>
            </w:r>
          </w:p>
        </w:tc>
        <w:tc>
          <w:tcPr>
            <w:tcW w:w="799" w:type="pct"/>
          </w:tcPr>
          <w:p w14:paraId="72C76649" w14:textId="77777777" w:rsidR="00D67906" w:rsidRDefault="00D67906" w:rsidP="00C667E9">
            <w:pPr>
              <w:contextualSpacing/>
              <w:jc w:val="center"/>
            </w:pPr>
            <w:r>
              <w:t xml:space="preserve">1.50 </w:t>
            </w:r>
            <w:r>
              <w:rPr>
                <w:rFonts w:ascii="Cambria" w:hAnsi="Cambria"/>
              </w:rPr>
              <w:t>±</w:t>
            </w:r>
            <w:r>
              <w:t xml:space="preserve"> 0.29</w:t>
            </w:r>
          </w:p>
        </w:tc>
        <w:tc>
          <w:tcPr>
            <w:tcW w:w="829" w:type="pct"/>
          </w:tcPr>
          <w:p w14:paraId="66ABED90" w14:textId="77777777" w:rsidR="00D67906" w:rsidRDefault="00D67906" w:rsidP="00C667E9">
            <w:pPr>
              <w:contextualSpacing/>
              <w:jc w:val="center"/>
            </w:pPr>
            <w:r>
              <w:t xml:space="preserve">1.17 </w:t>
            </w:r>
            <w:r>
              <w:rPr>
                <w:rFonts w:ascii="Cambria" w:hAnsi="Cambria"/>
              </w:rPr>
              <w:t>±</w:t>
            </w:r>
            <w:r>
              <w:t xml:space="preserve"> 0.17</w:t>
            </w:r>
          </w:p>
        </w:tc>
        <w:tc>
          <w:tcPr>
            <w:tcW w:w="1000" w:type="pct"/>
          </w:tcPr>
          <w:p w14:paraId="6CC58EA4" w14:textId="77777777" w:rsidR="00D67906" w:rsidRDefault="00D67906" w:rsidP="00C667E9">
            <w:pPr>
              <w:contextualSpacing/>
              <w:jc w:val="center"/>
            </w:pPr>
            <w:r>
              <w:t xml:space="preserve">1.00 </w:t>
            </w:r>
            <w:r>
              <w:rPr>
                <w:rFonts w:ascii="Cambria" w:hAnsi="Cambria"/>
              </w:rPr>
              <w:t>±</w:t>
            </w:r>
            <w:r>
              <w:t xml:space="preserve"> 0.00</w:t>
            </w:r>
          </w:p>
        </w:tc>
        <w:tc>
          <w:tcPr>
            <w:tcW w:w="1000" w:type="pct"/>
          </w:tcPr>
          <w:p w14:paraId="71FE27E8" w14:textId="77777777" w:rsidR="00D67906" w:rsidRDefault="00D67906" w:rsidP="00C667E9">
            <w:pPr>
              <w:contextualSpacing/>
              <w:jc w:val="center"/>
            </w:pPr>
            <w:r>
              <w:t>0.251</w:t>
            </w:r>
          </w:p>
        </w:tc>
      </w:tr>
      <w:tr w:rsidR="00D67906" w14:paraId="66FC9CD7" w14:textId="77777777" w:rsidTr="00C667E9">
        <w:tc>
          <w:tcPr>
            <w:tcW w:w="1372" w:type="pct"/>
          </w:tcPr>
          <w:p w14:paraId="4A996B74" w14:textId="77777777" w:rsidR="00D67906" w:rsidRPr="001831A0" w:rsidRDefault="00D67906" w:rsidP="00C667E9">
            <w:pPr>
              <w:contextualSpacing/>
              <w:jc w:val="both"/>
              <w:rPr>
                <w:vertAlign w:val="superscript"/>
              </w:rPr>
            </w:pPr>
            <w:r>
              <w:t>Sex</w:t>
            </w:r>
            <w:r>
              <w:rPr>
                <w:vertAlign w:val="superscript"/>
              </w:rPr>
              <w:t>8</w:t>
            </w:r>
          </w:p>
        </w:tc>
        <w:tc>
          <w:tcPr>
            <w:tcW w:w="799" w:type="pct"/>
          </w:tcPr>
          <w:p w14:paraId="7ABC2B16" w14:textId="77777777" w:rsidR="00D67906" w:rsidRDefault="00D67906" w:rsidP="00C667E9">
            <w:pPr>
              <w:contextualSpacing/>
              <w:jc w:val="center"/>
            </w:pPr>
            <w:r>
              <w:t xml:space="preserve">1.67 </w:t>
            </w:r>
            <w:r>
              <w:rPr>
                <w:rFonts w:ascii="Cambria" w:hAnsi="Cambria"/>
              </w:rPr>
              <w:t>±</w:t>
            </w:r>
            <w:r>
              <w:t xml:space="preserve"> 0.21</w:t>
            </w:r>
          </w:p>
        </w:tc>
        <w:tc>
          <w:tcPr>
            <w:tcW w:w="829" w:type="pct"/>
          </w:tcPr>
          <w:p w14:paraId="1FCDE50D" w14:textId="77777777" w:rsidR="00D67906" w:rsidRDefault="00D67906" w:rsidP="00C667E9">
            <w:pPr>
              <w:contextualSpacing/>
              <w:jc w:val="center"/>
            </w:pPr>
            <w:r>
              <w:t xml:space="preserve">1.57 </w:t>
            </w:r>
            <w:r>
              <w:rPr>
                <w:rFonts w:ascii="Cambria" w:hAnsi="Cambria"/>
              </w:rPr>
              <w:t>±</w:t>
            </w:r>
            <w:r>
              <w:t xml:space="preserve"> 0.20</w:t>
            </w:r>
          </w:p>
        </w:tc>
        <w:tc>
          <w:tcPr>
            <w:tcW w:w="1000" w:type="pct"/>
          </w:tcPr>
          <w:p w14:paraId="38D8F984" w14:textId="77777777" w:rsidR="00D67906" w:rsidRDefault="00D67906" w:rsidP="00C667E9">
            <w:pPr>
              <w:contextualSpacing/>
              <w:jc w:val="center"/>
            </w:pPr>
            <w:r>
              <w:t xml:space="preserve">1.25 </w:t>
            </w:r>
            <w:r>
              <w:rPr>
                <w:rFonts w:ascii="Cambria" w:hAnsi="Cambria"/>
              </w:rPr>
              <w:t>±</w:t>
            </w:r>
            <w:r>
              <w:t xml:space="preserve"> 0.26</w:t>
            </w:r>
          </w:p>
        </w:tc>
        <w:tc>
          <w:tcPr>
            <w:tcW w:w="1000" w:type="pct"/>
          </w:tcPr>
          <w:p w14:paraId="76E915F7" w14:textId="77777777" w:rsidR="00D67906" w:rsidRDefault="00D67906" w:rsidP="00C667E9">
            <w:pPr>
              <w:contextualSpacing/>
              <w:jc w:val="center"/>
            </w:pPr>
            <w:r>
              <w:t>0.466</w:t>
            </w:r>
          </w:p>
        </w:tc>
      </w:tr>
      <w:tr w:rsidR="00D67906" w14:paraId="6E97EFB3" w14:textId="77777777" w:rsidTr="00C667E9">
        <w:tc>
          <w:tcPr>
            <w:tcW w:w="1372" w:type="pct"/>
          </w:tcPr>
          <w:p w14:paraId="0419C48B" w14:textId="77777777" w:rsidR="00D67906" w:rsidRDefault="00D67906" w:rsidP="00C667E9">
            <w:pPr>
              <w:contextualSpacing/>
              <w:jc w:val="both"/>
            </w:pPr>
            <w:r>
              <w:t>Vigor score (1 – 4)</w:t>
            </w:r>
          </w:p>
        </w:tc>
        <w:tc>
          <w:tcPr>
            <w:tcW w:w="799" w:type="pct"/>
          </w:tcPr>
          <w:p w14:paraId="6B95B334" w14:textId="77777777" w:rsidR="00D67906" w:rsidRDefault="00D67906" w:rsidP="00C667E9">
            <w:pPr>
              <w:contextualSpacing/>
              <w:jc w:val="center"/>
            </w:pPr>
            <w:r>
              <w:t xml:space="preserve">3.00 </w:t>
            </w:r>
            <w:r>
              <w:rPr>
                <w:rFonts w:ascii="Cambria" w:hAnsi="Cambria"/>
              </w:rPr>
              <w:t>±</w:t>
            </w:r>
            <w:r>
              <w:t xml:space="preserve"> 0.51</w:t>
            </w:r>
          </w:p>
        </w:tc>
        <w:tc>
          <w:tcPr>
            <w:tcW w:w="829" w:type="pct"/>
          </w:tcPr>
          <w:p w14:paraId="6908C042" w14:textId="77777777" w:rsidR="00D67906" w:rsidRDefault="00D67906" w:rsidP="00C667E9">
            <w:pPr>
              <w:contextualSpacing/>
              <w:jc w:val="center"/>
            </w:pPr>
            <w:r>
              <w:t xml:space="preserve">2.57 </w:t>
            </w:r>
            <w:r>
              <w:rPr>
                <w:rFonts w:ascii="Cambria" w:hAnsi="Cambria"/>
              </w:rPr>
              <w:t>±</w:t>
            </w:r>
            <w:r>
              <w:t xml:space="preserve"> 0.47</w:t>
            </w:r>
          </w:p>
        </w:tc>
        <w:tc>
          <w:tcPr>
            <w:tcW w:w="1000" w:type="pct"/>
          </w:tcPr>
          <w:p w14:paraId="0FC49340" w14:textId="77777777" w:rsidR="00D67906" w:rsidRDefault="00D67906" w:rsidP="00C667E9">
            <w:pPr>
              <w:contextualSpacing/>
              <w:jc w:val="center"/>
            </w:pPr>
            <w:r>
              <w:t xml:space="preserve">4.00 </w:t>
            </w:r>
            <w:r>
              <w:rPr>
                <w:rFonts w:ascii="Cambria" w:hAnsi="Cambria"/>
              </w:rPr>
              <w:t>±</w:t>
            </w:r>
            <w:r>
              <w:t xml:space="preserve"> 0.62</w:t>
            </w:r>
          </w:p>
        </w:tc>
        <w:tc>
          <w:tcPr>
            <w:tcW w:w="1000" w:type="pct"/>
          </w:tcPr>
          <w:p w14:paraId="0351A79D" w14:textId="77777777" w:rsidR="00D67906" w:rsidRDefault="00D67906" w:rsidP="00C667E9">
            <w:pPr>
              <w:contextualSpacing/>
              <w:jc w:val="center"/>
            </w:pPr>
            <w:r>
              <w:t>0.221</w:t>
            </w:r>
          </w:p>
        </w:tc>
      </w:tr>
      <w:tr w:rsidR="00D67906" w14:paraId="60BB14D8" w14:textId="77777777" w:rsidTr="00C667E9">
        <w:tc>
          <w:tcPr>
            <w:tcW w:w="1372" w:type="pct"/>
            <w:tcBorders>
              <w:bottom w:val="single" w:sz="4" w:space="0" w:color="auto"/>
            </w:tcBorders>
          </w:tcPr>
          <w:p w14:paraId="55D392AD" w14:textId="77777777" w:rsidR="00D67906" w:rsidRDefault="00D67906" w:rsidP="00C667E9">
            <w:pPr>
              <w:contextualSpacing/>
              <w:jc w:val="both"/>
            </w:pPr>
            <w:r>
              <w:t>Birth Weight (kg)</w:t>
            </w: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30AECFF0" w14:textId="77777777" w:rsidR="00D67906" w:rsidRPr="00F5020D" w:rsidRDefault="00D67906" w:rsidP="00C667E9">
            <w:pPr>
              <w:contextualSpacing/>
              <w:jc w:val="center"/>
              <w:rPr>
                <w:vertAlign w:val="superscript"/>
              </w:rPr>
            </w:pPr>
            <w:r>
              <w:t xml:space="preserve">4.81 </w:t>
            </w:r>
            <w:r>
              <w:rPr>
                <w:rFonts w:ascii="Cambria" w:hAnsi="Cambria"/>
              </w:rPr>
              <w:t>±</w:t>
            </w:r>
            <w:r>
              <w:t xml:space="preserve"> 0.43</w:t>
            </w:r>
            <w:r>
              <w:rPr>
                <w:vertAlign w:val="superscript"/>
              </w:rPr>
              <w:t>a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14:paraId="3D6C02E7" w14:textId="77777777" w:rsidR="00D67906" w:rsidRPr="00F5020D" w:rsidRDefault="00D67906" w:rsidP="00C667E9">
            <w:pPr>
              <w:contextualSpacing/>
              <w:jc w:val="center"/>
              <w:rPr>
                <w:vertAlign w:val="superscript"/>
              </w:rPr>
            </w:pPr>
            <w:r>
              <w:t xml:space="preserve">5.82 </w:t>
            </w:r>
            <w:r>
              <w:rPr>
                <w:rFonts w:ascii="Cambria" w:hAnsi="Cambria"/>
              </w:rPr>
              <w:t>±</w:t>
            </w:r>
            <w:r>
              <w:t xml:space="preserve"> 0.43</w:t>
            </w:r>
            <w:r>
              <w:rPr>
                <w:vertAlign w:val="superscript"/>
              </w:rPr>
              <w:t>ab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3B83427" w14:textId="77777777" w:rsidR="00D67906" w:rsidRPr="00F5020D" w:rsidRDefault="00D67906" w:rsidP="00C667E9">
            <w:pPr>
              <w:contextualSpacing/>
              <w:jc w:val="center"/>
              <w:rPr>
                <w:vertAlign w:val="superscript"/>
              </w:rPr>
            </w:pPr>
            <w:r>
              <w:t xml:space="preserve">6.88 </w:t>
            </w:r>
            <w:r>
              <w:rPr>
                <w:rFonts w:ascii="Cambria" w:hAnsi="Cambria"/>
              </w:rPr>
              <w:t>±</w:t>
            </w:r>
            <w:r>
              <w:t xml:space="preserve"> 0.61</w:t>
            </w:r>
            <w:r>
              <w:rPr>
                <w:vertAlign w:val="superscript"/>
              </w:rPr>
              <w:t>b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CB5AD02" w14:textId="77777777" w:rsidR="00D67906" w:rsidRDefault="00D67906" w:rsidP="00C667E9">
            <w:pPr>
              <w:contextualSpacing/>
              <w:jc w:val="center"/>
            </w:pPr>
            <w:r>
              <w:t>0.047</w:t>
            </w:r>
          </w:p>
        </w:tc>
      </w:tr>
      <w:tr w:rsidR="00D67906" w14:paraId="4259F34B" w14:textId="77777777" w:rsidTr="00C667E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041B8AB3" w14:textId="77777777" w:rsidR="00D67906" w:rsidRPr="001C2885" w:rsidRDefault="00D67906" w:rsidP="00C667E9">
            <w:pPr>
              <w:contextualSpacing/>
              <w:jc w:val="both"/>
            </w:pPr>
            <w:r w:rsidRPr="001C2885">
              <w:rPr>
                <w:vertAlign w:val="superscript"/>
              </w:rPr>
              <w:t>1</w:t>
            </w:r>
            <w:r w:rsidRPr="001C2885">
              <w:t>Selected ewes chosen based on ewes with highest (</w:t>
            </w:r>
            <w:r w:rsidRPr="00075669">
              <w:rPr>
                <w:b/>
              </w:rPr>
              <w:t>HRFI</w:t>
            </w:r>
            <w:r>
              <w:t xml:space="preserve">; </w:t>
            </w:r>
            <w:r w:rsidRPr="001C2885">
              <w:t>least efficient), middle (</w:t>
            </w:r>
            <w:r w:rsidRPr="00075669">
              <w:rPr>
                <w:b/>
              </w:rPr>
              <w:t>MRFI</w:t>
            </w:r>
            <w:r>
              <w:t xml:space="preserve">; </w:t>
            </w:r>
            <w:r w:rsidRPr="001C2885">
              <w:t>moderately efficient), and lowest (</w:t>
            </w:r>
            <w:r w:rsidRPr="00075669">
              <w:rPr>
                <w:b/>
              </w:rPr>
              <w:t>LRFI</w:t>
            </w:r>
            <w:r>
              <w:t xml:space="preserve">; </w:t>
            </w:r>
            <w:r w:rsidRPr="001C2885">
              <w:t xml:space="preserve">most efficient) </w:t>
            </w:r>
            <w:r>
              <w:t>residual feed intake (</w:t>
            </w:r>
            <w:r w:rsidRPr="00075669">
              <w:rPr>
                <w:b/>
              </w:rPr>
              <w:t>RFI</w:t>
            </w:r>
            <w:r>
              <w:t>)</w:t>
            </w:r>
            <w:r w:rsidRPr="001C2885">
              <w:t xml:space="preserve"> values (n = 18) from the forage diet.  </w:t>
            </w:r>
          </w:p>
          <w:p w14:paraId="2FA49B8B" w14:textId="77777777" w:rsidR="00D67906" w:rsidRDefault="00D67906" w:rsidP="00C667E9">
            <w:pPr>
              <w:contextualSpacing/>
              <w:jc w:val="both"/>
            </w:pPr>
            <w:r w:rsidRPr="001C2885">
              <w:rPr>
                <w:vertAlign w:val="superscript"/>
              </w:rPr>
              <w:t xml:space="preserve">2abc </w:t>
            </w:r>
            <w:r w:rsidRPr="001C2885">
              <w:t>Different subscripts denote significant difference (</w:t>
            </w:r>
            <w:r w:rsidRPr="001C2885">
              <w:rPr>
                <w:i/>
                <w:iCs/>
              </w:rPr>
              <w:t>P</w:t>
            </w:r>
            <w:r w:rsidRPr="001C2885">
              <w:t xml:space="preserve"> &lt; 0.05) among selected ewe groups.</w:t>
            </w:r>
          </w:p>
          <w:p w14:paraId="58EFE4E8" w14:textId="77777777" w:rsidR="00D67906" w:rsidRDefault="00D67906" w:rsidP="00C667E9">
            <w:pPr>
              <w:contextualSpacing/>
              <w:jc w:val="both"/>
            </w:pPr>
            <w:r w:rsidRPr="00075669">
              <w:rPr>
                <w:vertAlign w:val="superscript"/>
              </w:rPr>
              <w:t>3</w:t>
            </w:r>
            <w:r w:rsidRPr="00075669">
              <w:t>Pregnant</w:t>
            </w:r>
            <w:r>
              <w:t xml:space="preserve"> status analyzed (yes = 1 and no = 0).</w:t>
            </w:r>
          </w:p>
          <w:p w14:paraId="062D8814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4</w:t>
            </w:r>
            <w:r>
              <w:t xml:space="preserve">Date bred from d 0 of estrus.  </w:t>
            </w:r>
          </w:p>
          <w:p w14:paraId="1BCA1B0B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5</w:t>
            </w:r>
            <w:r>
              <w:t xml:space="preserve">Puberty date determined during concentrate feeding trial by the presence of two consecutive progesterone readings of &gt; 1 </w:t>
            </w:r>
            <w:proofErr w:type="spellStart"/>
            <w:r>
              <w:t>ng</w:t>
            </w:r>
            <w:proofErr w:type="spellEnd"/>
            <w:r>
              <w:t>/</w:t>
            </w:r>
            <w:proofErr w:type="spellStart"/>
            <w:r>
              <w:rPr>
                <w:rFonts w:ascii="Cambria" w:hAnsi="Cambria"/>
              </w:rPr>
              <w:t>μ</w:t>
            </w:r>
            <w:r>
              <w:t>L</w:t>
            </w:r>
            <w:proofErr w:type="spellEnd"/>
            <w:r>
              <w:t xml:space="preserve"> by radioimmunoassay.</w:t>
            </w:r>
          </w:p>
          <w:p w14:paraId="337C3C2E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6</w:t>
            </w:r>
            <w:r>
              <w:t>Dystocia presence (yes = 1 and no = 0).</w:t>
            </w:r>
          </w:p>
          <w:p w14:paraId="401D799E" w14:textId="77777777" w:rsidR="00D67906" w:rsidRPr="001831A0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7</w:t>
            </w:r>
            <w:r>
              <w:t>Birth type (1 = single, 2 = twin, and 3 = triplet).</w:t>
            </w:r>
          </w:p>
          <w:p w14:paraId="45CF721F" w14:textId="77777777" w:rsidR="00D67906" w:rsidRPr="001831A0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8</w:t>
            </w:r>
            <w:r>
              <w:t>Sex (1 = male and 2 = female).</w:t>
            </w:r>
          </w:p>
        </w:tc>
      </w:tr>
    </w:tbl>
    <w:p w14:paraId="0FD74A88" w14:textId="77777777" w:rsidR="00D67906" w:rsidRPr="0051667B" w:rsidRDefault="00D67906" w:rsidP="00D67906">
      <w:pPr>
        <w:spacing w:after="0"/>
        <w:contextualSpacing/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670"/>
        <w:gridCol w:w="1909"/>
        <w:gridCol w:w="891"/>
        <w:gridCol w:w="1228"/>
      </w:tblGrid>
      <w:tr w:rsidR="00D67906" w14:paraId="7903B4AE" w14:textId="77777777" w:rsidTr="00C667E9">
        <w:tc>
          <w:tcPr>
            <w:tcW w:w="5000" w:type="pct"/>
            <w:gridSpan w:val="5"/>
            <w:tcBorders>
              <w:bottom w:val="double" w:sz="4" w:space="0" w:color="auto"/>
            </w:tcBorders>
          </w:tcPr>
          <w:p w14:paraId="5153056B" w14:textId="77777777" w:rsidR="00D67906" w:rsidRDefault="00D67906" w:rsidP="00C667E9">
            <w:pPr>
              <w:contextualSpacing/>
              <w:jc w:val="both"/>
            </w:pPr>
            <w:r>
              <w:rPr>
                <w:b/>
              </w:rPr>
              <w:t>Table 4</w:t>
            </w:r>
            <w:r w:rsidRPr="00494F5D">
              <w:rPr>
                <w:b/>
              </w:rPr>
              <w:t>.</w:t>
            </w:r>
            <w:r>
              <w:t xml:space="preserve">   Correlations of ram sale price and slaughter age with residual feed intake (</w:t>
            </w:r>
            <w:r w:rsidRPr="00C8281C">
              <w:rPr>
                <w:b/>
              </w:rPr>
              <w:t>RFI</w:t>
            </w:r>
            <w:r>
              <w:t xml:space="preserve">).  </w:t>
            </w:r>
          </w:p>
        </w:tc>
      </w:tr>
      <w:tr w:rsidR="00D67906" w14:paraId="2B700E66" w14:textId="77777777" w:rsidTr="00C667E9">
        <w:tc>
          <w:tcPr>
            <w:tcW w:w="2547" w:type="pct"/>
            <w:tcBorders>
              <w:top w:val="double" w:sz="4" w:space="0" w:color="auto"/>
              <w:bottom w:val="single" w:sz="4" w:space="0" w:color="auto"/>
            </w:tcBorders>
          </w:tcPr>
          <w:p w14:paraId="1E377D1C" w14:textId="77777777" w:rsidR="00D67906" w:rsidRPr="00494F5D" w:rsidRDefault="00D67906" w:rsidP="00C667E9">
            <w:pPr>
              <w:contextualSpacing/>
              <w:jc w:val="both"/>
              <w:rPr>
                <w:b/>
              </w:rPr>
            </w:pPr>
            <w:r w:rsidRPr="00494F5D">
              <w:rPr>
                <w:b/>
              </w:rPr>
              <w:t>Item</w:t>
            </w:r>
          </w:p>
        </w:tc>
        <w:tc>
          <w:tcPr>
            <w:tcW w:w="350" w:type="pct"/>
            <w:tcBorders>
              <w:top w:val="double" w:sz="4" w:space="0" w:color="auto"/>
              <w:bottom w:val="single" w:sz="4" w:space="0" w:color="auto"/>
            </w:tcBorders>
          </w:tcPr>
          <w:p w14:paraId="51C7656D" w14:textId="77777777" w:rsidR="00D67906" w:rsidRPr="00494F5D" w:rsidRDefault="00D67906" w:rsidP="00C667E9">
            <w:pPr>
              <w:contextualSpacing/>
              <w:jc w:val="center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</w:p>
        </w:tc>
        <w:tc>
          <w:tcPr>
            <w:tcW w:w="997" w:type="pct"/>
            <w:tcBorders>
              <w:top w:val="double" w:sz="4" w:space="0" w:color="auto"/>
              <w:bottom w:val="single" w:sz="4" w:space="0" w:color="auto"/>
            </w:tcBorders>
          </w:tcPr>
          <w:p w14:paraId="698AE0A9" w14:textId="77777777" w:rsidR="00D67906" w:rsidRPr="00CD574E" w:rsidRDefault="00D67906" w:rsidP="00C667E9">
            <w:pPr>
              <w:contextualSpacing/>
              <w:jc w:val="center"/>
              <w:rPr>
                <w:b/>
                <w:vertAlign w:val="superscript"/>
              </w:rPr>
            </w:pPr>
            <w:r w:rsidRPr="00494F5D">
              <w:rPr>
                <w:b/>
              </w:rPr>
              <w:t xml:space="preserve">Mean </w:t>
            </w:r>
            <w:r w:rsidRPr="00494F5D">
              <w:rPr>
                <w:rFonts w:ascii="Cambria" w:hAnsi="Cambria"/>
                <w:b/>
              </w:rPr>
              <w:t>±</w:t>
            </w:r>
            <w:r w:rsidRPr="00494F5D">
              <w:rPr>
                <w:b/>
              </w:rPr>
              <w:t xml:space="preserve"> SD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465" w:type="pct"/>
            <w:tcBorders>
              <w:top w:val="double" w:sz="4" w:space="0" w:color="auto"/>
              <w:bottom w:val="single" w:sz="4" w:space="0" w:color="auto"/>
            </w:tcBorders>
          </w:tcPr>
          <w:p w14:paraId="0FD999FA" w14:textId="77777777" w:rsidR="00D67906" w:rsidRPr="00494F5D" w:rsidRDefault="00D67906" w:rsidP="00C667E9">
            <w:pPr>
              <w:contextualSpacing/>
              <w:jc w:val="center"/>
              <w:rPr>
                <w:b/>
              </w:rPr>
            </w:pPr>
            <w:proofErr w:type="gramStart"/>
            <w:r w:rsidRPr="00494F5D">
              <w:rPr>
                <w:b/>
              </w:rPr>
              <w:t>r</w:t>
            </w:r>
            <w:proofErr w:type="gramEnd"/>
          </w:p>
        </w:tc>
        <w:tc>
          <w:tcPr>
            <w:tcW w:w="641" w:type="pct"/>
            <w:tcBorders>
              <w:top w:val="double" w:sz="4" w:space="0" w:color="auto"/>
              <w:bottom w:val="single" w:sz="4" w:space="0" w:color="auto"/>
            </w:tcBorders>
          </w:tcPr>
          <w:p w14:paraId="29F4B27C" w14:textId="77777777" w:rsidR="00D67906" w:rsidRPr="00CD574E" w:rsidRDefault="00D67906" w:rsidP="00C667E9">
            <w:pPr>
              <w:contextualSpacing/>
              <w:jc w:val="center"/>
              <w:rPr>
                <w:b/>
                <w:vertAlign w:val="superscript"/>
              </w:rPr>
            </w:pPr>
            <w:r w:rsidRPr="00494F5D">
              <w:rPr>
                <w:b/>
                <w:i/>
              </w:rPr>
              <w:t>P</w:t>
            </w:r>
            <w:r w:rsidRPr="00494F5D">
              <w:rPr>
                <w:b/>
              </w:rPr>
              <w:t>-value</w:t>
            </w:r>
            <w:r>
              <w:rPr>
                <w:b/>
                <w:vertAlign w:val="superscript"/>
              </w:rPr>
              <w:t>2</w:t>
            </w:r>
          </w:p>
        </w:tc>
      </w:tr>
      <w:tr w:rsidR="00D67906" w14:paraId="0093D0CB" w14:textId="77777777" w:rsidTr="00C667E9">
        <w:tc>
          <w:tcPr>
            <w:tcW w:w="2547" w:type="pct"/>
            <w:tcBorders>
              <w:top w:val="single" w:sz="4" w:space="0" w:color="auto"/>
            </w:tcBorders>
          </w:tcPr>
          <w:p w14:paraId="04E5203F" w14:textId="77777777" w:rsidR="00D67906" w:rsidRDefault="00D67906" w:rsidP="00C667E9">
            <w:pPr>
              <w:contextualSpacing/>
              <w:jc w:val="both"/>
            </w:pPr>
            <w:r>
              <w:t xml:space="preserve">Price ($) 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6512C569" w14:textId="77777777" w:rsidR="00D67906" w:rsidRDefault="00D67906" w:rsidP="00C667E9">
            <w:pPr>
              <w:contextualSpacing/>
              <w:jc w:val="center"/>
            </w:pPr>
            <w:r>
              <w:t>65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14:paraId="1C2C33A6" w14:textId="77777777" w:rsidR="00D67906" w:rsidRDefault="00D67906" w:rsidP="00C667E9">
            <w:pPr>
              <w:contextualSpacing/>
              <w:jc w:val="center"/>
            </w:pPr>
            <w:r>
              <w:t xml:space="preserve">580.49 </w:t>
            </w:r>
            <w:r>
              <w:rPr>
                <w:rFonts w:ascii="Cambria" w:hAnsi="Cambria"/>
              </w:rPr>
              <w:t>± 264.96</w:t>
            </w:r>
          </w:p>
        </w:tc>
        <w:tc>
          <w:tcPr>
            <w:tcW w:w="465" w:type="pct"/>
            <w:tcBorders>
              <w:top w:val="single" w:sz="4" w:space="0" w:color="auto"/>
            </w:tcBorders>
          </w:tcPr>
          <w:p w14:paraId="66C62D5C" w14:textId="77777777" w:rsidR="00D67906" w:rsidRDefault="00D67906" w:rsidP="00C667E9">
            <w:pPr>
              <w:contextualSpacing/>
              <w:jc w:val="center"/>
            </w:pPr>
            <w:r>
              <w:t>0.14</w:t>
            </w:r>
          </w:p>
        </w:tc>
        <w:tc>
          <w:tcPr>
            <w:tcW w:w="641" w:type="pct"/>
            <w:tcBorders>
              <w:top w:val="single" w:sz="4" w:space="0" w:color="auto"/>
            </w:tcBorders>
          </w:tcPr>
          <w:p w14:paraId="5BC71C41" w14:textId="77777777" w:rsidR="00D67906" w:rsidRDefault="00D67906" w:rsidP="00C667E9">
            <w:pPr>
              <w:contextualSpacing/>
              <w:jc w:val="center"/>
            </w:pPr>
            <w:r>
              <w:t>0.402</w:t>
            </w:r>
          </w:p>
        </w:tc>
      </w:tr>
      <w:tr w:rsidR="00D67906" w14:paraId="515CE917" w14:textId="77777777" w:rsidTr="00C667E9">
        <w:tc>
          <w:tcPr>
            <w:tcW w:w="2547" w:type="pct"/>
            <w:tcBorders>
              <w:bottom w:val="single" w:sz="4" w:space="0" w:color="auto"/>
            </w:tcBorders>
          </w:tcPr>
          <w:p w14:paraId="41BDB3CB" w14:textId="77777777" w:rsidR="00D67906" w:rsidRDefault="00D67906" w:rsidP="00C667E9">
            <w:pPr>
              <w:contextualSpacing/>
              <w:jc w:val="both"/>
            </w:pPr>
            <w:r>
              <w:t>Slaughter age (</w:t>
            </w:r>
            <w:proofErr w:type="spellStart"/>
            <w:r>
              <w:t>wk</w:t>
            </w:r>
            <w:proofErr w:type="spellEnd"/>
            <w:r>
              <w:t xml:space="preserve"> during performance test)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25A7477E" w14:textId="77777777" w:rsidR="00D67906" w:rsidRDefault="00D67906" w:rsidP="00C667E9">
            <w:pPr>
              <w:contextualSpacing/>
              <w:jc w:val="center"/>
            </w:pPr>
            <w:r>
              <w:t>378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14:paraId="1D6E7C6D" w14:textId="77777777" w:rsidR="00D67906" w:rsidRDefault="00D67906" w:rsidP="00C667E9">
            <w:pPr>
              <w:contextualSpacing/>
              <w:jc w:val="center"/>
            </w:pPr>
            <w:r>
              <w:t xml:space="preserve">8.65 </w:t>
            </w:r>
            <w:r>
              <w:rPr>
                <w:rFonts w:ascii="Cambria" w:hAnsi="Cambria"/>
              </w:rPr>
              <w:t>±</w:t>
            </w:r>
            <w:r>
              <w:t xml:space="preserve"> 3.68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32A8184C" w14:textId="77777777" w:rsidR="00D67906" w:rsidRDefault="00D67906" w:rsidP="00C667E9">
            <w:pPr>
              <w:contextualSpacing/>
              <w:jc w:val="center"/>
            </w:pPr>
            <w:r>
              <w:t>0.01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75B8E603" w14:textId="77777777" w:rsidR="00D67906" w:rsidRDefault="00D67906" w:rsidP="00C667E9">
            <w:pPr>
              <w:contextualSpacing/>
              <w:jc w:val="center"/>
            </w:pPr>
            <w:r>
              <w:t>0.829</w:t>
            </w:r>
          </w:p>
        </w:tc>
      </w:tr>
      <w:tr w:rsidR="00D67906" w14:paraId="0188A8BA" w14:textId="77777777" w:rsidTr="00C667E9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7466F5B0" w14:textId="77777777" w:rsidR="00D67906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1</w:t>
            </w:r>
            <w:r>
              <w:t>SD = standard deviation.</w:t>
            </w:r>
          </w:p>
          <w:p w14:paraId="2CEC5514" w14:textId="77777777" w:rsidR="00D67906" w:rsidRPr="00CD574E" w:rsidRDefault="00D67906" w:rsidP="00C667E9">
            <w:pPr>
              <w:contextualSpacing/>
              <w:jc w:val="both"/>
            </w:pPr>
            <w:r>
              <w:rPr>
                <w:vertAlign w:val="superscript"/>
              </w:rPr>
              <w:t>2</w:t>
            </w:r>
            <w:r>
              <w:t xml:space="preserve">Significance indicated by </w:t>
            </w:r>
            <w:r w:rsidRPr="00CD574E">
              <w:rPr>
                <w:i/>
              </w:rPr>
              <w:t>P</w:t>
            </w:r>
            <w:r>
              <w:t xml:space="preserve"> &lt; 0.05.</w:t>
            </w:r>
          </w:p>
        </w:tc>
      </w:tr>
    </w:tbl>
    <w:p w14:paraId="72BD8D7B" w14:textId="77777777" w:rsidR="00E97B84" w:rsidRDefault="00E97B84"/>
    <w:sectPr w:rsidR="00E97B84" w:rsidSect="002B703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906"/>
    <w:rsid w:val="00201108"/>
    <w:rsid w:val="002B7035"/>
    <w:rsid w:val="004567C0"/>
    <w:rsid w:val="006212A9"/>
    <w:rsid w:val="00766A71"/>
    <w:rsid w:val="00881F32"/>
    <w:rsid w:val="00936D83"/>
    <w:rsid w:val="00A73B74"/>
    <w:rsid w:val="00CD03F4"/>
    <w:rsid w:val="00D67906"/>
    <w:rsid w:val="00D862E0"/>
    <w:rsid w:val="00E30D98"/>
    <w:rsid w:val="00E97B84"/>
    <w:rsid w:val="00FB56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CECB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906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9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0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906"/>
    <w:pPr>
      <w:spacing w:after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90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9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rebeccacockrum:Documents:RFI:Western%20SARE%20Reproductive/Economic%20Study:GrowSafe:SAS:Results%20for%20B.%20Boner%20(lbs).xlsx" TargetMode="External"/><Relationship Id="rId2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rebeccacockrum:Documents:RFI:Western%20SARE%20Reproductive/Economic%20Study:GrowSafe:SAS:Results%20for%20B.%20Boner%20(lbs).xlsx" TargetMode="External"/><Relationship Id="rId2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233057406286"/>
          <c:y val="0.120306370299495"/>
          <c:w val="0.82732249814927"/>
          <c:h val="0.839910390695171"/>
        </c:manualLayout>
      </c:layout>
      <c:barChart>
        <c:barDir val="col"/>
        <c:grouping val="clustered"/>
        <c:varyColors val="0"/>
        <c:ser>
          <c:idx val="0"/>
          <c:order val="0"/>
          <c:tx>
            <c:v>Concentrate</c:v>
          </c:tx>
          <c:spPr>
            <a:noFill/>
            <a:ln>
              <a:solidFill>
                <a:srgbClr val="000000"/>
              </a:solidFill>
            </a:ln>
            <a:effectLst/>
          </c:spPr>
          <c:invertIfNegative val="0"/>
          <c:cat>
            <c:numRef>
              <c:f>'Ranking chart'!$E$2:$E$62</c:f>
              <c:numCache>
                <c:formatCode>General</c:formatCode>
                <c:ptCount val="6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  <c:pt idx="52">
                  <c:v>53.0</c:v>
                </c:pt>
                <c:pt idx="53">
                  <c:v>54.0</c:v>
                </c:pt>
                <c:pt idx="54">
                  <c:v>55.0</c:v>
                </c:pt>
                <c:pt idx="55">
                  <c:v>56.0</c:v>
                </c:pt>
                <c:pt idx="56">
                  <c:v>57.0</c:v>
                </c:pt>
                <c:pt idx="57">
                  <c:v>58.0</c:v>
                </c:pt>
                <c:pt idx="58">
                  <c:v>59.0</c:v>
                </c:pt>
                <c:pt idx="59">
                  <c:v>60.0</c:v>
                </c:pt>
                <c:pt idx="60">
                  <c:v>61.0</c:v>
                </c:pt>
              </c:numCache>
            </c:numRef>
          </c:cat>
          <c:val>
            <c:numRef>
              <c:f>'Ranking chart'!$B$2:$B$62</c:f>
              <c:numCache>
                <c:formatCode>General</c:formatCode>
                <c:ptCount val="61"/>
                <c:pt idx="0">
                  <c:v>-0.400709999663968</c:v>
                </c:pt>
                <c:pt idx="1">
                  <c:v>-0.405139999660253</c:v>
                </c:pt>
                <c:pt idx="2">
                  <c:v>-0.123429999896493</c:v>
                </c:pt>
                <c:pt idx="3">
                  <c:v>-0.111339999906631</c:v>
                </c:pt>
                <c:pt idx="4">
                  <c:v>-0.408669999657293</c:v>
                </c:pt>
                <c:pt idx="5">
                  <c:v>-0.172099999855679</c:v>
                </c:pt>
                <c:pt idx="6">
                  <c:v>-0.380399999681</c:v>
                </c:pt>
                <c:pt idx="7">
                  <c:v>-0.586929999507806</c:v>
                </c:pt>
                <c:pt idx="8">
                  <c:v>-0.264339999778327</c:v>
                </c:pt>
                <c:pt idx="9">
                  <c:v>-0.104829999912091</c:v>
                </c:pt>
                <c:pt idx="10">
                  <c:v>-0.054079999954649</c:v>
                </c:pt>
                <c:pt idx="11">
                  <c:v>-0.0768399999355627</c:v>
                </c:pt>
                <c:pt idx="12">
                  <c:v>-0.320329999731374</c:v>
                </c:pt>
                <c:pt idx="13">
                  <c:v>-0.177069999851511</c:v>
                </c:pt>
                <c:pt idx="14">
                  <c:v>-0.56563999952566</c:v>
                </c:pt>
                <c:pt idx="15">
                  <c:v>-0.41428999965258</c:v>
                </c:pt>
                <c:pt idx="16">
                  <c:v>0.0541699999545735</c:v>
                </c:pt>
                <c:pt idx="17">
                  <c:v>-0.301029999747559</c:v>
                </c:pt>
                <c:pt idx="18">
                  <c:v>0.282649999762972</c:v>
                </c:pt>
                <c:pt idx="19">
                  <c:v>-0.155679999869448</c:v>
                </c:pt>
                <c:pt idx="20">
                  <c:v>0.321749999730183</c:v>
                </c:pt>
                <c:pt idx="21">
                  <c:v>-0.0681099999428836</c:v>
                </c:pt>
                <c:pt idx="22">
                  <c:v>-0.01647999998618</c:v>
                </c:pt>
                <c:pt idx="23">
                  <c:v>-0.0339999999714879</c:v>
                </c:pt>
                <c:pt idx="24">
                  <c:v>0.0414999999651985</c:v>
                </c:pt>
                <c:pt idx="25">
                  <c:v>-0.0788599999338687</c:v>
                </c:pt>
                <c:pt idx="26">
                  <c:v>-0.0582799999511269</c:v>
                </c:pt>
                <c:pt idx="27">
                  <c:v>0.0611099999487537</c:v>
                </c:pt>
                <c:pt idx="28">
                  <c:v>-0.192609999838479</c:v>
                </c:pt>
                <c:pt idx="29">
                  <c:v>0.574009999518641</c:v>
                </c:pt>
                <c:pt idx="30">
                  <c:v>0.0782999999343383</c:v>
                </c:pt>
                <c:pt idx="31">
                  <c:v>-0.191689999839251</c:v>
                </c:pt>
                <c:pt idx="32">
                  <c:v>-0.148869999875159</c:v>
                </c:pt>
                <c:pt idx="33">
                  <c:v>-0.238719999799812</c:v>
                </c:pt>
                <c:pt idx="34">
                  <c:v>-0.112719999905474</c:v>
                </c:pt>
                <c:pt idx="35">
                  <c:v>-0.274119999770126</c:v>
                </c:pt>
                <c:pt idx="36">
                  <c:v>-0.147609999876216</c:v>
                </c:pt>
                <c:pt idx="37">
                  <c:v>0.152449999872157</c:v>
                </c:pt>
                <c:pt idx="38">
                  <c:v>-0.378499999682593</c:v>
                </c:pt>
                <c:pt idx="39">
                  <c:v>-0.291109999755878</c:v>
                </c:pt>
                <c:pt idx="40">
                  <c:v>-0.0933699999217008</c:v>
                </c:pt>
                <c:pt idx="41">
                  <c:v>-0.0847599999289211</c:v>
                </c:pt>
                <c:pt idx="42">
                  <c:v>0.179149999849766</c:v>
                </c:pt>
                <c:pt idx="43">
                  <c:v>0.0775799999349421</c:v>
                </c:pt>
                <c:pt idx="44">
                  <c:v>0.136699999885365</c:v>
                </c:pt>
                <c:pt idx="45">
                  <c:v>0.0668999999438983</c:v>
                </c:pt>
                <c:pt idx="46">
                  <c:v>0.0468999999606701</c:v>
                </c:pt>
                <c:pt idx="47">
                  <c:v>0.660359999446228</c:v>
                </c:pt>
                <c:pt idx="48">
                  <c:v>0.260699999781379</c:v>
                </c:pt>
                <c:pt idx="49">
                  <c:v>0.10717999991012</c:v>
                </c:pt>
                <c:pt idx="50">
                  <c:v>0.646769999457625</c:v>
                </c:pt>
                <c:pt idx="51">
                  <c:v>0.0405999999659532</c:v>
                </c:pt>
                <c:pt idx="52">
                  <c:v>0.0643999999459947</c:v>
                </c:pt>
                <c:pt idx="53">
                  <c:v>0.123209999896677</c:v>
                </c:pt>
                <c:pt idx="54">
                  <c:v>0.252549999788214</c:v>
                </c:pt>
                <c:pt idx="55">
                  <c:v>0.468989999606709</c:v>
                </c:pt>
                <c:pt idx="56">
                  <c:v>0.773789999351107</c:v>
                </c:pt>
                <c:pt idx="57">
                  <c:v>0.335809999718393</c:v>
                </c:pt>
                <c:pt idx="58">
                  <c:v>0.50244999957865</c:v>
                </c:pt>
                <c:pt idx="59">
                  <c:v>0.412319999654232</c:v>
                </c:pt>
                <c:pt idx="60">
                  <c:v>0.710349999404307</c:v>
                </c:pt>
              </c:numCache>
            </c:numRef>
          </c:val>
        </c:ser>
        <c:ser>
          <c:idx val="1"/>
          <c:order val="1"/>
          <c:tx>
            <c:v>Forage</c:v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'Ranking chart'!$E$2:$E$62</c:f>
              <c:numCache>
                <c:formatCode>General</c:formatCode>
                <c:ptCount val="61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  <c:pt idx="48">
                  <c:v>49.0</c:v>
                </c:pt>
                <c:pt idx="49">
                  <c:v>50.0</c:v>
                </c:pt>
                <c:pt idx="50">
                  <c:v>51.0</c:v>
                </c:pt>
                <c:pt idx="51">
                  <c:v>52.0</c:v>
                </c:pt>
                <c:pt idx="52">
                  <c:v>53.0</c:v>
                </c:pt>
                <c:pt idx="53">
                  <c:v>54.0</c:v>
                </c:pt>
                <c:pt idx="54">
                  <c:v>55.0</c:v>
                </c:pt>
                <c:pt idx="55">
                  <c:v>56.0</c:v>
                </c:pt>
                <c:pt idx="56">
                  <c:v>57.0</c:v>
                </c:pt>
                <c:pt idx="57">
                  <c:v>58.0</c:v>
                </c:pt>
                <c:pt idx="58">
                  <c:v>59.0</c:v>
                </c:pt>
                <c:pt idx="59">
                  <c:v>60.0</c:v>
                </c:pt>
                <c:pt idx="60">
                  <c:v>61.0</c:v>
                </c:pt>
              </c:numCache>
            </c:numRef>
          </c:cat>
          <c:val>
            <c:numRef>
              <c:f>'Ranking chart'!$D$2:$D$62</c:f>
              <c:numCache>
                <c:formatCode>General</c:formatCode>
                <c:ptCount val="61"/>
                <c:pt idx="0">
                  <c:v>-0.853119999284582</c:v>
                </c:pt>
                <c:pt idx="1">
                  <c:v>-0.691729999419922</c:v>
                </c:pt>
                <c:pt idx="2">
                  <c:v>-0.67151999943687</c:v>
                </c:pt>
                <c:pt idx="3">
                  <c:v>-0.612899999486028</c:v>
                </c:pt>
                <c:pt idx="4">
                  <c:v>-0.532119999553769</c:v>
                </c:pt>
                <c:pt idx="5">
                  <c:v>-0.468699999606953</c:v>
                </c:pt>
                <c:pt idx="6">
                  <c:v>-0.463819999611045</c:v>
                </c:pt>
                <c:pt idx="7">
                  <c:v>-0.438349999632404</c:v>
                </c:pt>
                <c:pt idx="8">
                  <c:v>-0.411289999655096</c:v>
                </c:pt>
                <c:pt idx="9">
                  <c:v>-0.375109999685436</c:v>
                </c:pt>
                <c:pt idx="10">
                  <c:v>-0.366099999692992</c:v>
                </c:pt>
                <c:pt idx="11">
                  <c:v>-0.316949999734209</c:v>
                </c:pt>
                <c:pt idx="12">
                  <c:v>-0.307779999741899</c:v>
                </c:pt>
                <c:pt idx="13">
                  <c:v>-0.303579999745421</c:v>
                </c:pt>
                <c:pt idx="14">
                  <c:v>-0.282049999763476</c:v>
                </c:pt>
                <c:pt idx="15">
                  <c:v>-0.254019999786981</c:v>
                </c:pt>
                <c:pt idx="16">
                  <c:v>-0.225549999810856</c:v>
                </c:pt>
                <c:pt idx="17">
                  <c:v>-0.173199999854756</c:v>
                </c:pt>
                <c:pt idx="18">
                  <c:v>-0.128699999892073</c:v>
                </c:pt>
                <c:pt idx="19">
                  <c:v>-0.121519999898094</c:v>
                </c:pt>
                <c:pt idx="20">
                  <c:v>-0.120539999898916</c:v>
                </c:pt>
                <c:pt idx="21">
                  <c:v>-0.118739999900426</c:v>
                </c:pt>
                <c:pt idx="22">
                  <c:v>-0.091239999923487</c:v>
                </c:pt>
                <c:pt idx="23">
                  <c:v>-0.0572799999519655</c:v>
                </c:pt>
                <c:pt idx="24">
                  <c:v>-0.0565299999525945</c:v>
                </c:pt>
                <c:pt idx="25">
                  <c:v>-0.0472799999603514</c:v>
                </c:pt>
                <c:pt idx="26">
                  <c:v>-0.0467899999607623</c:v>
                </c:pt>
                <c:pt idx="27">
                  <c:v>-0.0463599999611229</c:v>
                </c:pt>
                <c:pt idx="28">
                  <c:v>-0.0456999999616764</c:v>
                </c:pt>
                <c:pt idx="29">
                  <c:v>-0.0217299999817774</c:v>
                </c:pt>
                <c:pt idx="30">
                  <c:v>-0.0163399999862974</c:v>
                </c:pt>
                <c:pt idx="31">
                  <c:v>-0.000739999999379443</c:v>
                </c:pt>
                <c:pt idx="32">
                  <c:v>0.00783999999342545</c:v>
                </c:pt>
                <c:pt idx="33">
                  <c:v>0.0102499999914044</c:v>
                </c:pt>
                <c:pt idx="34">
                  <c:v>0.0214099999820458</c:v>
                </c:pt>
                <c:pt idx="35">
                  <c:v>0.0727099999390261</c:v>
                </c:pt>
                <c:pt idx="36">
                  <c:v>0.0814999999316549</c:v>
                </c:pt>
                <c:pt idx="37">
                  <c:v>0.0819199999313027</c:v>
                </c:pt>
                <c:pt idx="38">
                  <c:v>0.0877599999264053</c:v>
                </c:pt>
                <c:pt idx="39">
                  <c:v>0.111659999906363</c:v>
                </c:pt>
                <c:pt idx="40">
                  <c:v>0.130879999890245</c:v>
                </c:pt>
                <c:pt idx="41">
                  <c:v>0.13195999988934</c:v>
                </c:pt>
                <c:pt idx="42">
                  <c:v>0.138409999883931</c:v>
                </c:pt>
                <c:pt idx="43">
                  <c:v>0.139339999883151</c:v>
                </c:pt>
                <c:pt idx="44">
                  <c:v>0.154589999870362</c:v>
                </c:pt>
                <c:pt idx="45">
                  <c:v>0.188819999841657</c:v>
                </c:pt>
                <c:pt idx="46">
                  <c:v>0.251379999789195</c:v>
                </c:pt>
                <c:pt idx="47">
                  <c:v>0.259189999782646</c:v>
                </c:pt>
                <c:pt idx="48">
                  <c:v>0.264319999778344</c:v>
                </c:pt>
                <c:pt idx="49">
                  <c:v>0.290059999756758</c:v>
                </c:pt>
                <c:pt idx="50">
                  <c:v>0.320669999731089</c:v>
                </c:pt>
                <c:pt idx="51">
                  <c:v>0.343709999711768</c:v>
                </c:pt>
                <c:pt idx="52">
                  <c:v>0.346399999709512</c:v>
                </c:pt>
                <c:pt idx="53">
                  <c:v>0.369119999690459</c:v>
                </c:pt>
                <c:pt idx="54">
                  <c:v>0.49011999958899</c:v>
                </c:pt>
                <c:pt idx="55">
                  <c:v>0.509459999572772</c:v>
                </c:pt>
                <c:pt idx="56">
                  <c:v>0.583969999510288</c:v>
                </c:pt>
                <c:pt idx="57">
                  <c:v>0.601369999495697</c:v>
                </c:pt>
                <c:pt idx="58">
                  <c:v>0.616899999482673</c:v>
                </c:pt>
                <c:pt idx="59">
                  <c:v>0.713309999401825</c:v>
                </c:pt>
                <c:pt idx="60">
                  <c:v>1.348359998869278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686088"/>
        <c:axId val="527688712"/>
      </c:barChart>
      <c:catAx>
        <c:axId val="527686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Ewe</a:t>
                </a:r>
              </a:p>
            </c:rich>
          </c:tx>
          <c:layout>
            <c:manualLayout>
              <c:xMode val="edge"/>
              <c:yMode val="edge"/>
              <c:x val="0.518705741578858"/>
              <c:y val="0.875992770970804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527688712"/>
        <c:crosses val="autoZero"/>
        <c:auto val="1"/>
        <c:lblAlgn val="ctr"/>
        <c:lblOffset val="100"/>
        <c:noMultiLvlLbl val="0"/>
      </c:catAx>
      <c:valAx>
        <c:axId val="527688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kg/d</a:t>
                </a:r>
              </a:p>
            </c:rich>
          </c:tx>
          <c:layout>
            <c:manualLayout>
              <c:xMode val="edge"/>
              <c:yMode val="edge"/>
              <c:x val="0.00951009677149914"/>
              <c:y val="0.445947162540071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crossAx val="5276860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200"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3654182650246"/>
          <c:y val="0.209431636646322"/>
          <c:w val="0.83178258967629"/>
          <c:h val="0.69127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v>Concentrate</c:v>
          </c:tx>
          <c:spPr>
            <a:solidFill>
              <a:srgbClr val="FFFFFF"/>
            </a:solidFill>
            <a:ln>
              <a:solidFill>
                <a:srgbClr val="000000"/>
              </a:solidFill>
            </a:ln>
            <a:effectLst/>
          </c:spPr>
          <c:invertIfNegative val="0"/>
          <c:cat>
            <c:numRef>
              <c:f>'SAS spreadsheet selected ewes'!$D$2:$D$19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29.0</c:v>
                </c:pt>
                <c:pt idx="7">
                  <c:v>30.0</c:v>
                </c:pt>
                <c:pt idx="8">
                  <c:v>31.0</c:v>
                </c:pt>
                <c:pt idx="9">
                  <c:v>32.0</c:v>
                </c:pt>
                <c:pt idx="10">
                  <c:v>33.0</c:v>
                </c:pt>
                <c:pt idx="11">
                  <c:v>34.0</c:v>
                </c:pt>
                <c:pt idx="12">
                  <c:v>56.0</c:v>
                </c:pt>
                <c:pt idx="13">
                  <c:v>57.0</c:v>
                </c:pt>
                <c:pt idx="14">
                  <c:v>58.0</c:v>
                </c:pt>
                <c:pt idx="15">
                  <c:v>59.0</c:v>
                </c:pt>
                <c:pt idx="16">
                  <c:v>60.0</c:v>
                </c:pt>
                <c:pt idx="17">
                  <c:v>61.0</c:v>
                </c:pt>
              </c:numCache>
            </c:numRef>
          </c:cat>
          <c:val>
            <c:numRef>
              <c:f>'SAS spreadsheet selected ewes'!$E$2:$E$19</c:f>
              <c:numCache>
                <c:formatCode>0.000</c:formatCode>
                <c:ptCount val="18"/>
                <c:pt idx="0">
                  <c:v>-0.400709999663968</c:v>
                </c:pt>
                <c:pt idx="1">
                  <c:v>-0.405139999660253</c:v>
                </c:pt>
                <c:pt idx="2">
                  <c:v>-0.123429999896493</c:v>
                </c:pt>
                <c:pt idx="3">
                  <c:v>-0.111339999906631</c:v>
                </c:pt>
                <c:pt idx="4">
                  <c:v>-0.408669999657293</c:v>
                </c:pt>
                <c:pt idx="5">
                  <c:v>-0.172099999855679</c:v>
                </c:pt>
                <c:pt idx="6">
                  <c:v>-0.192609999838479</c:v>
                </c:pt>
                <c:pt idx="7">
                  <c:v>0.574009999518641</c:v>
                </c:pt>
                <c:pt idx="8">
                  <c:v>0.0782999999343383</c:v>
                </c:pt>
                <c:pt idx="9">
                  <c:v>-0.191689999839251</c:v>
                </c:pt>
                <c:pt idx="10">
                  <c:v>-0.148869999875159</c:v>
                </c:pt>
                <c:pt idx="11">
                  <c:v>-0.238719999799812</c:v>
                </c:pt>
                <c:pt idx="12">
                  <c:v>0.468989999606709</c:v>
                </c:pt>
                <c:pt idx="13">
                  <c:v>0.773789999351107</c:v>
                </c:pt>
                <c:pt idx="14">
                  <c:v>0.335809999718393</c:v>
                </c:pt>
                <c:pt idx="15">
                  <c:v>0.50244999957865</c:v>
                </c:pt>
                <c:pt idx="16">
                  <c:v>0.412319999654232</c:v>
                </c:pt>
                <c:pt idx="17">
                  <c:v>0.710349999404307</c:v>
                </c:pt>
              </c:numCache>
            </c:numRef>
          </c:val>
        </c:ser>
        <c:ser>
          <c:idx val="1"/>
          <c:order val="1"/>
          <c:tx>
            <c:v>Forage</c:v>
          </c:tx>
          <c:spPr>
            <a:solidFill>
              <a:schemeClr val="tx1"/>
            </a:solidFill>
            <a:ln>
              <a:solidFill>
                <a:srgbClr val="000000"/>
              </a:solidFill>
            </a:ln>
            <a:effectLst/>
          </c:spPr>
          <c:invertIfNegative val="0"/>
          <c:cat>
            <c:numRef>
              <c:f>'SAS spreadsheet selected ewes'!$D$2:$D$19</c:f>
              <c:numCache>
                <c:formatCode>General</c:formatCode>
                <c:ptCount val="1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29.0</c:v>
                </c:pt>
                <c:pt idx="7">
                  <c:v>30.0</c:v>
                </c:pt>
                <c:pt idx="8">
                  <c:v>31.0</c:v>
                </c:pt>
                <c:pt idx="9">
                  <c:v>32.0</c:v>
                </c:pt>
                <c:pt idx="10">
                  <c:v>33.0</c:v>
                </c:pt>
                <c:pt idx="11">
                  <c:v>34.0</c:v>
                </c:pt>
                <c:pt idx="12">
                  <c:v>56.0</c:v>
                </c:pt>
                <c:pt idx="13">
                  <c:v>57.0</c:v>
                </c:pt>
                <c:pt idx="14">
                  <c:v>58.0</c:v>
                </c:pt>
                <c:pt idx="15">
                  <c:v>59.0</c:v>
                </c:pt>
                <c:pt idx="16">
                  <c:v>60.0</c:v>
                </c:pt>
                <c:pt idx="17">
                  <c:v>61.0</c:v>
                </c:pt>
              </c:numCache>
            </c:numRef>
          </c:cat>
          <c:val>
            <c:numRef>
              <c:f>'SAS spreadsheet selected ewes'!$C$2:$C$19</c:f>
              <c:numCache>
                <c:formatCode>0.000</c:formatCode>
                <c:ptCount val="18"/>
                <c:pt idx="0">
                  <c:v>-0.85312</c:v>
                </c:pt>
                <c:pt idx="1">
                  <c:v>-0.69173</c:v>
                </c:pt>
                <c:pt idx="2">
                  <c:v>-0.67152</c:v>
                </c:pt>
                <c:pt idx="3">
                  <c:v>-0.6129</c:v>
                </c:pt>
                <c:pt idx="4">
                  <c:v>-0.53212</c:v>
                </c:pt>
                <c:pt idx="5">
                  <c:v>-0.4687</c:v>
                </c:pt>
                <c:pt idx="6">
                  <c:v>-0.0457</c:v>
                </c:pt>
                <c:pt idx="7">
                  <c:v>-0.02173</c:v>
                </c:pt>
                <c:pt idx="8">
                  <c:v>-0.01634</c:v>
                </c:pt>
                <c:pt idx="9">
                  <c:v>-0.00074</c:v>
                </c:pt>
                <c:pt idx="10">
                  <c:v>0.00784</c:v>
                </c:pt>
                <c:pt idx="11">
                  <c:v>0.01025</c:v>
                </c:pt>
                <c:pt idx="12">
                  <c:v>0.50946</c:v>
                </c:pt>
                <c:pt idx="13">
                  <c:v>0.58397</c:v>
                </c:pt>
                <c:pt idx="14">
                  <c:v>0.60137</c:v>
                </c:pt>
                <c:pt idx="15">
                  <c:v>0.6169</c:v>
                </c:pt>
                <c:pt idx="16">
                  <c:v>0.71331</c:v>
                </c:pt>
                <c:pt idx="17">
                  <c:v>1.34836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7703960"/>
        <c:axId val="2995912"/>
      </c:barChart>
      <c:catAx>
        <c:axId val="527703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one"/>
        <c:spPr>
          <a:ln>
            <a:solidFill>
              <a:schemeClr val="bg1">
                <a:lumMod val="50000"/>
              </a:schemeClr>
            </a:solidFill>
          </a:ln>
        </c:spPr>
        <c:crossAx val="2995912"/>
        <c:crosses val="autoZero"/>
        <c:auto val="1"/>
        <c:lblAlgn val="ctr"/>
        <c:lblOffset val="100"/>
        <c:noMultiLvlLbl val="0"/>
      </c:catAx>
      <c:valAx>
        <c:axId val="2995912"/>
        <c:scaling>
          <c:orientation val="minMax"/>
          <c:max val="1.5"/>
          <c:min val="-1.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kg/d</a:t>
                </a:r>
              </a:p>
            </c:rich>
          </c:tx>
          <c:layout>
            <c:manualLayout>
              <c:xMode val="edge"/>
              <c:yMode val="edge"/>
              <c:x val="0.00950679538345377"/>
              <c:y val="0.460753651049017"/>
            </c:manualLayout>
          </c:layout>
          <c:overlay val="0"/>
        </c:title>
        <c:numFmt formatCode="0.00" sourceLinked="0"/>
        <c:majorTickMark val="out"/>
        <c:minorTickMark val="none"/>
        <c:tickLblPos val="nextTo"/>
        <c:crossAx val="527703960"/>
        <c:crosses val="autoZero"/>
        <c:crossBetween val="between"/>
        <c:majorUnit val="0.75"/>
        <c:minorUnit val="0.1"/>
      </c:valAx>
    </c:plotArea>
    <c:legend>
      <c:legendPos val="t"/>
      <c:layout/>
      <c:overlay val="0"/>
    </c:legend>
    <c:plotVisOnly val="1"/>
    <c:dispBlanksAs val="gap"/>
    <c:showDLblsOverMax val="0"/>
  </c:chart>
  <c:spPr>
    <a:solidFill>
      <a:schemeClr val="bg1"/>
    </a:solidFill>
  </c:spPr>
  <c:txPr>
    <a:bodyPr/>
    <a:lstStyle/>
    <a:p>
      <a:pPr>
        <a:defRPr sz="1200"/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0.19231</cdr:x>
      <cdr:y>0.39947</cdr:y>
    </cdr:from>
    <cdr:to>
      <cdr:x>0.42308</cdr:x>
      <cdr:y>0.47936</cdr:y>
    </cdr:to>
    <cdr:sp macro="" textlink="">
      <cdr:nvSpPr>
        <cdr:cNvPr id="2" name="Right Brace 1"/>
        <cdr:cNvSpPr/>
      </cdr:nvSpPr>
      <cdr:spPr>
        <a:xfrm xmlns:a="http://schemas.openxmlformats.org/drawingml/2006/main" rot="16200000">
          <a:off x="1714502" y="571498"/>
          <a:ext cx="228600" cy="1371603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0.73077</cdr:x>
      <cdr:y>0.79893</cdr:y>
    </cdr:from>
    <cdr:to>
      <cdr:x>0.96154</cdr:x>
      <cdr:y>0.87883</cdr:y>
    </cdr:to>
    <cdr:sp macro="" textlink="">
      <cdr:nvSpPr>
        <cdr:cNvPr id="3" name="Right Brace 2"/>
        <cdr:cNvSpPr/>
      </cdr:nvSpPr>
      <cdr:spPr>
        <a:xfrm xmlns:a="http://schemas.openxmlformats.org/drawingml/2006/main" rot="5400000">
          <a:off x="4914905" y="1714495"/>
          <a:ext cx="228594" cy="1371604"/>
        </a:xfrm>
        <a:prstGeom xmlns:a="http://schemas.openxmlformats.org/drawingml/2006/main" prst="rightBrace">
          <a:avLst/>
        </a:prstGeom>
        <a:ln xmlns:a="http://schemas.openxmlformats.org/drawingml/2006/main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0.19231</cdr:x>
      <cdr:y>0.5</cdr:y>
    </cdr:from>
    <cdr:to>
      <cdr:x>0.42308</cdr:x>
      <cdr:y>0.57989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143000" y="1143000"/>
          <a:ext cx="1371604" cy="182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>
              <a:latin typeface="+mn-lt"/>
            </a:rPr>
            <a:t>More efficient</a:t>
          </a:r>
        </a:p>
      </cdr:txBody>
    </cdr:sp>
  </cdr:relSizeAnchor>
  <cdr:relSizeAnchor xmlns:cdr="http://schemas.openxmlformats.org/drawingml/2006/chartDrawing">
    <cdr:from>
      <cdr:x>0.73077</cdr:x>
      <cdr:y>0.7</cdr:y>
    </cdr:from>
    <cdr:to>
      <cdr:x>0.96154</cdr:x>
      <cdr:y>0.77989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343400" y="1600200"/>
          <a:ext cx="1371604" cy="1826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Less efficient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0.18601</cdr:x>
      <cdr:y>0.84657</cdr:y>
    </cdr:from>
    <cdr:to>
      <cdr:x>0.92142</cdr:x>
      <cdr:y>1</cdr:y>
    </cdr:to>
    <cdr:grpSp>
      <cdr:nvGrpSpPr>
        <cdr:cNvPr id="5" name="Group 4"/>
        <cdr:cNvGrpSpPr/>
      </cdr:nvGrpSpPr>
      <cdr:grpSpPr>
        <a:xfrm xmlns:a="http://schemas.openxmlformats.org/drawingml/2006/main">
          <a:off x="2759198" y="3639263"/>
          <a:ext cx="10908778" cy="659570"/>
          <a:chOff x="2759151" y="3639268"/>
          <a:chExt cx="10908887" cy="659565"/>
        </a:xfrm>
      </cdr:grpSpPr>
      <cdr:sp macro="" textlink="">
        <cdr:nvSpPr>
          <cdr:cNvPr id="2" name="TextBox 1"/>
          <cdr:cNvSpPr txBox="1"/>
        </cdr:nvSpPr>
        <cdr:spPr>
          <a:xfrm xmlns:a="http://schemas.openxmlformats.org/drawingml/2006/main">
            <a:off x="2759151" y="3848109"/>
            <a:ext cx="2790146" cy="450724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vertOverflow="clip" wrap="square" rtlCol="0"/>
          <a:lstStyle xmlns:a="http://schemas.openxmlformats.org/drawingml/2006/main"/>
          <a:p xmlns:a="http://schemas.openxmlformats.org/drawingml/2006/main">
            <a:r>
              <a:rPr lang="en-US" sz="2400" b="1" dirty="0" smtClean="0">
                <a:solidFill>
                  <a:schemeClr val="tx1"/>
                </a:solidFill>
              </a:rPr>
              <a:t>Most    Efficient</a:t>
            </a:r>
            <a:endParaRPr lang="en-US" sz="2400" b="1" dirty="0">
              <a:solidFill>
                <a:schemeClr val="tx1"/>
              </a:solidFill>
            </a:endParaRPr>
          </a:p>
        </cdr:txBody>
      </cdr:sp>
      <cdr:sp macro="" textlink="">
        <cdr:nvSpPr>
          <cdr:cNvPr id="3" name="TextBox 2"/>
          <cdr:cNvSpPr txBox="1"/>
        </cdr:nvSpPr>
        <cdr:spPr>
          <a:xfrm xmlns:a="http://schemas.openxmlformats.org/drawingml/2006/main">
            <a:off x="11532132" y="3639268"/>
            <a:ext cx="2135906" cy="417681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en-US" sz="2400" b="1" dirty="0" smtClean="0">
                <a:solidFill>
                  <a:schemeClr val="tx1"/>
                </a:solidFill>
              </a:rPr>
              <a:t>Least Efficient</a:t>
            </a:r>
            <a:endParaRPr lang="en-US" sz="2400" b="1" dirty="0">
              <a:solidFill>
                <a:schemeClr val="tx1"/>
              </a:solidFill>
            </a:endParaRPr>
          </a:p>
        </cdr:txBody>
      </cdr:sp>
      <cdr:sp macro="" textlink="">
        <cdr:nvSpPr>
          <cdr:cNvPr id="4" name="TextBox 3"/>
          <cdr:cNvSpPr txBox="1"/>
        </cdr:nvSpPr>
        <cdr:spPr>
          <a:xfrm xmlns:a="http://schemas.openxmlformats.org/drawingml/2006/main">
            <a:off x="6587702" y="3639268"/>
            <a:ext cx="2790832" cy="406093"/>
          </a:xfrm>
          <a:prstGeom xmlns:a="http://schemas.openxmlformats.org/drawingml/2006/main" prst="rect">
            <a:avLst/>
          </a:prstGeom>
        </cdr:spPr>
        <cdr:txBody>
          <a:bodyPr xmlns:a="http://schemas.openxmlformats.org/drawingml/2006/main" wrap="square" rtlCol="0" anchor="t"/>
          <a:lstStyle xmlns:a="http://schemas.openxmlformats.org/drawingml/2006/main">
            <a:lvl1pPr marL="0" indent="0">
              <a:defRPr sz="1100">
                <a:latin typeface="+mn-lt"/>
                <a:ea typeface="+mn-ea"/>
                <a:cs typeface="+mn-cs"/>
              </a:defRPr>
            </a:lvl1pPr>
            <a:lvl2pPr marL="457200" indent="0">
              <a:defRPr sz="1100">
                <a:latin typeface="+mn-lt"/>
                <a:ea typeface="+mn-ea"/>
                <a:cs typeface="+mn-cs"/>
              </a:defRPr>
            </a:lvl2pPr>
            <a:lvl3pPr marL="914400" indent="0">
              <a:defRPr sz="1100">
                <a:latin typeface="+mn-lt"/>
                <a:ea typeface="+mn-ea"/>
                <a:cs typeface="+mn-cs"/>
              </a:defRPr>
            </a:lvl3pPr>
            <a:lvl4pPr marL="1371600" indent="0">
              <a:defRPr sz="1100">
                <a:latin typeface="+mn-lt"/>
                <a:ea typeface="+mn-ea"/>
                <a:cs typeface="+mn-cs"/>
              </a:defRPr>
            </a:lvl4pPr>
            <a:lvl5pPr marL="1828800" indent="0">
              <a:defRPr sz="1100">
                <a:latin typeface="+mn-lt"/>
                <a:ea typeface="+mn-ea"/>
                <a:cs typeface="+mn-cs"/>
              </a:defRPr>
            </a:lvl5pPr>
            <a:lvl6pPr marL="2286000" indent="0">
              <a:defRPr sz="1100">
                <a:latin typeface="+mn-lt"/>
                <a:ea typeface="+mn-ea"/>
                <a:cs typeface="+mn-cs"/>
              </a:defRPr>
            </a:lvl6pPr>
            <a:lvl7pPr marL="2743200" indent="0">
              <a:defRPr sz="1100">
                <a:latin typeface="+mn-lt"/>
                <a:ea typeface="+mn-ea"/>
                <a:cs typeface="+mn-cs"/>
              </a:defRPr>
            </a:lvl7pPr>
            <a:lvl8pPr marL="3200400" indent="0">
              <a:defRPr sz="1100">
                <a:latin typeface="+mn-lt"/>
                <a:ea typeface="+mn-ea"/>
                <a:cs typeface="+mn-cs"/>
              </a:defRPr>
            </a:lvl8pPr>
            <a:lvl9pPr marL="3657600" indent="0">
              <a:defRPr sz="1100">
                <a:latin typeface="+mn-lt"/>
                <a:ea typeface="+mn-ea"/>
                <a:cs typeface="+mn-cs"/>
              </a:defRPr>
            </a:lvl9pPr>
          </a:lstStyle>
          <a:p xmlns:a="http://schemas.openxmlformats.org/drawingml/2006/main">
            <a:r>
              <a:rPr lang="en-US" sz="2400" b="1" dirty="0" smtClean="0">
                <a:solidFill>
                  <a:schemeClr val="tx1"/>
                </a:solidFill>
              </a:rPr>
              <a:t>Moderately Efficient</a:t>
            </a:r>
            <a:endParaRPr lang="en-US" sz="2400" b="1" dirty="0">
              <a:solidFill>
                <a:schemeClr val="tx1"/>
              </a:solidFill>
            </a:endParaRPr>
          </a:p>
        </cdr:txBody>
      </cdr:sp>
    </cdr:grpSp>
  </cdr:relSizeAnchor>
  <cdr:relSizeAnchor xmlns:cdr="http://schemas.openxmlformats.org/drawingml/2006/chartDrawing">
    <cdr:from>
      <cdr:x>0.15385</cdr:x>
      <cdr:y>0.4</cdr:y>
    </cdr:from>
    <cdr:to>
      <cdr:x>0.36538</cdr:x>
      <cdr:y>0.5</cdr:y>
    </cdr:to>
    <cdr:sp macro="" textlink="">
      <cdr:nvSpPr>
        <cdr:cNvPr id="6" name="Left Brace 5"/>
        <cdr:cNvSpPr/>
      </cdr:nvSpPr>
      <cdr:spPr>
        <a:xfrm xmlns:a="http://schemas.openxmlformats.org/drawingml/2006/main" rot="5400000">
          <a:off x="1428750" y="400050"/>
          <a:ext cx="228600" cy="1257300"/>
        </a:xfrm>
        <a:prstGeom xmlns:a="http://schemas.openxmlformats.org/drawingml/2006/main" prst="leftBrace">
          <a:avLst/>
        </a:prstGeom>
        <a:ln xmlns:a="http://schemas.openxmlformats.org/drawingml/2006/main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0.19231</cdr:x>
      <cdr:y>0.5</cdr:y>
    </cdr:from>
    <cdr:to>
      <cdr:x>0.30769</cdr:x>
      <cdr:y>0.6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143000" y="1143000"/>
          <a:ext cx="685772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r>
            <a:rPr lang="en-US" sz="1100"/>
            <a:t>LRFI </a:t>
          </a:r>
        </a:p>
      </cdr:txBody>
    </cdr:sp>
  </cdr:relSizeAnchor>
  <cdr:relSizeAnchor xmlns:cdr="http://schemas.openxmlformats.org/drawingml/2006/chartDrawing">
    <cdr:from>
      <cdr:x>0.5</cdr:x>
      <cdr:y>0.7</cdr:y>
    </cdr:from>
    <cdr:to>
      <cdr:x>0.61538</cdr:x>
      <cdr:y>0.8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971800" y="1600200"/>
          <a:ext cx="685773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MRFI</a:t>
          </a:r>
        </a:p>
      </cdr:txBody>
    </cdr:sp>
  </cdr:relSizeAnchor>
  <cdr:relSizeAnchor xmlns:cdr="http://schemas.openxmlformats.org/drawingml/2006/chartDrawing">
    <cdr:from>
      <cdr:x>0.76923</cdr:x>
      <cdr:y>0.7</cdr:y>
    </cdr:from>
    <cdr:to>
      <cdr:x>0.88462</cdr:x>
      <cdr:y>0.8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4572000" y="1600200"/>
          <a:ext cx="685832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100"/>
            <a:t>HRFI</a:t>
          </a:r>
        </a:p>
      </cdr:txBody>
    </cdr:sp>
  </cdr:relSizeAnchor>
  <cdr:relSizeAnchor xmlns:cdr="http://schemas.openxmlformats.org/drawingml/2006/chartDrawing">
    <cdr:from>
      <cdr:x>0.46154</cdr:x>
      <cdr:y>0.8</cdr:y>
    </cdr:from>
    <cdr:to>
      <cdr:x>0.67308</cdr:x>
      <cdr:y>0.9</cdr:y>
    </cdr:to>
    <cdr:sp macro="" textlink="">
      <cdr:nvSpPr>
        <cdr:cNvPr id="12" name="Left Brace 11"/>
        <cdr:cNvSpPr/>
      </cdr:nvSpPr>
      <cdr:spPr>
        <a:xfrm xmlns:a="http://schemas.openxmlformats.org/drawingml/2006/main" rot="16200000">
          <a:off x="3257550" y="1314450"/>
          <a:ext cx="228600" cy="1257300"/>
        </a:xfrm>
        <a:prstGeom xmlns:a="http://schemas.openxmlformats.org/drawingml/2006/main" prst="leftBrace">
          <a:avLst/>
        </a:prstGeom>
        <a:ln xmlns:a="http://schemas.openxmlformats.org/drawingml/2006/main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sp>
  </cdr:relSizeAnchor>
  <cdr:relSizeAnchor xmlns:cdr="http://schemas.openxmlformats.org/drawingml/2006/chartDrawing">
    <cdr:from>
      <cdr:x>0.73077</cdr:x>
      <cdr:y>0.8</cdr:y>
    </cdr:from>
    <cdr:to>
      <cdr:x>0.94231</cdr:x>
      <cdr:y>0.9</cdr:y>
    </cdr:to>
    <cdr:sp macro="" textlink="">
      <cdr:nvSpPr>
        <cdr:cNvPr id="13" name="Left Brace 12"/>
        <cdr:cNvSpPr/>
      </cdr:nvSpPr>
      <cdr:spPr>
        <a:xfrm xmlns:a="http://schemas.openxmlformats.org/drawingml/2006/main" rot="16200000">
          <a:off x="4857750" y="1314450"/>
          <a:ext cx="228600" cy="1257300"/>
        </a:xfrm>
        <a:prstGeom xmlns:a="http://schemas.openxmlformats.org/drawingml/2006/main" prst="leftBrace">
          <a:avLst/>
        </a:prstGeom>
        <a:ln xmlns:a="http://schemas.openxmlformats.org/drawingml/2006/main">
          <a:solidFill>
            <a:schemeClr val="tx1"/>
          </a:solidFill>
        </a:ln>
        <a:effectLst xmlns:a="http://schemas.openxmlformats.org/drawingml/2006/main"/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3943</Characters>
  <Application>Microsoft Macintosh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Cockrum</dc:creator>
  <cp:keywords/>
  <dc:description/>
  <cp:lastModifiedBy>Rebecca Cockrum</cp:lastModifiedBy>
  <cp:revision>2</cp:revision>
  <dcterms:created xsi:type="dcterms:W3CDTF">2012-08-16T17:34:00Z</dcterms:created>
  <dcterms:modified xsi:type="dcterms:W3CDTF">2012-08-16T17:48:00Z</dcterms:modified>
</cp:coreProperties>
</file>