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B2C" w:rsidRDefault="00D96B2C" w:rsidP="00D96B2C">
      <w:r>
        <w:t>The question of soil aeration relieving soil surface compaction</w:t>
      </w:r>
      <w:r w:rsidR="00D9519C">
        <w:t xml:space="preserve"> arose</w:t>
      </w:r>
      <w:r>
        <w:t xml:space="preserve"> when this project started and was one that we wanted to explore further</w:t>
      </w:r>
      <w:r w:rsidR="006A6A9F">
        <w:t>.</w:t>
      </w:r>
      <w:r>
        <w:t xml:space="preserve"> </w:t>
      </w:r>
      <w:r w:rsidR="006A6A9F">
        <w:t>I</w:t>
      </w:r>
      <w:r>
        <w:t>n spring 2011 and 2012 each replication and subplot w</w:t>
      </w:r>
      <w:r w:rsidR="00D9519C">
        <w:t>as</w:t>
      </w:r>
      <w:r>
        <w:t xml:space="preserve"> tested using a soil </w:t>
      </w:r>
      <w:proofErr w:type="spellStart"/>
      <w:r>
        <w:t>penetrometer</w:t>
      </w:r>
      <w:proofErr w:type="spellEnd"/>
      <w:r>
        <w:t xml:space="preserve"> </w:t>
      </w:r>
      <w:r w:rsidR="006A6A9F">
        <w:t>to</w:t>
      </w:r>
      <w:r>
        <w:t xml:space="preserve"> measure soil tension.  The generally accepted practice is that when soil compaction reaches 300 psi according to a penetrometer, plant roots will have to expend more energy in order to push through the soil.</w:t>
      </w:r>
    </w:p>
    <w:p w:rsidR="00D96B2C" w:rsidRDefault="00D96B2C" w:rsidP="00D96B2C">
      <w:r>
        <w:t>The follow</w:t>
      </w:r>
      <w:r w:rsidR="006A6A9F">
        <w:t>ing</w:t>
      </w:r>
      <w:r>
        <w:t xml:space="preserve"> chart shows at what </w:t>
      </w:r>
      <w:r w:rsidR="002D458F">
        <w:t>depth the 300 psi is reached</w:t>
      </w:r>
      <w:r w:rsidR="00D81123">
        <w:t xml:space="preserve"> in the soil at each location</w:t>
      </w:r>
      <w:r w:rsidR="002D458F">
        <w:t>.  Per Sid Bosworth</w:t>
      </w:r>
      <w:r w:rsidR="006A6A9F">
        <w:t>,</w:t>
      </w:r>
      <w:r w:rsidR="002D458F">
        <w:t xml:space="preserve"> </w:t>
      </w:r>
      <w:proofErr w:type="spellStart"/>
      <w:proofErr w:type="gramStart"/>
      <w:r w:rsidR="002D458F">
        <w:t>Phd</w:t>
      </w:r>
      <w:proofErr w:type="spellEnd"/>
      <w:r w:rsidR="006A6A9F">
        <w:t>.</w:t>
      </w:r>
      <w:r w:rsidR="002D458F">
        <w:t>,</w:t>
      </w:r>
      <w:proofErr w:type="gramEnd"/>
      <w:r w:rsidR="002D458F">
        <w:t xml:space="preserve"> in 2011 there was a statistical difference at a 10% probability between the control, one and two passes compared to three passes.  There was no difference in the 2012 readings.  </w:t>
      </w:r>
      <w:r>
        <w:t xml:space="preserve">The following should be taken into consideration when looking at the charts: Samples each year were taken in April, </w:t>
      </w:r>
      <w:r w:rsidR="00D94783">
        <w:t>t</w:t>
      </w:r>
      <w:r>
        <w:t>he summer of 2011 was fairly wet and many farms were driving on fields that were too wet in</w:t>
      </w:r>
      <w:r w:rsidR="00D94783">
        <w:t xml:space="preserve"> order to harvest their crops, t</w:t>
      </w:r>
      <w:r>
        <w:t xml:space="preserve">he winter of 2011-2012 was mild with very little snow fall and mild temperatures </w:t>
      </w:r>
      <w:r w:rsidR="006A6A9F">
        <w:t>leading to</w:t>
      </w:r>
      <w:r>
        <w:t xml:space="preserve"> little frost action</w:t>
      </w:r>
      <w:r w:rsidR="00D94783">
        <w:t>, and</w:t>
      </w:r>
      <w:r>
        <w:t xml:space="preserve"> </w:t>
      </w:r>
      <w:r w:rsidR="00D94783">
        <w:t>t</w:t>
      </w:r>
      <w:r>
        <w:t>he spring of 2012 was wet</w:t>
      </w:r>
      <w:r w:rsidR="00D94783">
        <w:t>.</w:t>
      </w:r>
      <w:r>
        <w:t xml:space="preserve"> </w:t>
      </w:r>
      <w:r w:rsidR="00D94783">
        <w:t xml:space="preserve">  S</w:t>
      </w:r>
      <w:r>
        <w:t>oil moisture can affect penetrometer readings</w:t>
      </w:r>
      <w:r w:rsidR="006A6A9F">
        <w:t>.</w:t>
      </w:r>
      <w:r>
        <w:t xml:space="preserve"> </w:t>
      </w:r>
      <w:r w:rsidR="006A6A9F">
        <w:t>I</w:t>
      </w:r>
      <w:r>
        <w:t xml:space="preserve">n 2011, 4-5 </w:t>
      </w:r>
      <w:proofErr w:type="spellStart"/>
      <w:r>
        <w:t>penetrometer</w:t>
      </w:r>
      <w:proofErr w:type="spellEnd"/>
      <w:r>
        <w:t xml:space="preserve"> reading</w:t>
      </w:r>
      <w:r w:rsidR="006A6A9F">
        <w:t>s were taken while</w:t>
      </w:r>
      <w:r>
        <w:t xml:space="preserve"> in 2012, that number was increased to 10 as it was suggested that our sampling set was too small and that we may be taking readings within aerator hole</w:t>
      </w:r>
      <w:r w:rsidR="00D9519C">
        <w:t>s</w:t>
      </w:r>
      <w:r>
        <w:t>.</w:t>
      </w:r>
    </w:p>
    <w:p w:rsidR="00B22E90" w:rsidRDefault="00B22E90"/>
    <w:p w:rsidR="00D96B2C" w:rsidRDefault="002D458F">
      <w:proofErr w:type="spellStart"/>
      <w:r>
        <w:t>Ti</w:t>
      </w:r>
      <w:r w:rsidR="00D96B2C">
        <w:t>nmouth</w:t>
      </w:r>
      <w:proofErr w:type="spellEnd"/>
      <w:r w:rsidR="00D96B2C">
        <w:t xml:space="preserve"> site</w:t>
      </w:r>
    </w:p>
    <w:p w:rsidR="00D96B2C" w:rsidRDefault="00D96B2C"/>
    <w:tbl>
      <w:tblPr>
        <w:tblStyle w:val="TableGrid"/>
        <w:tblW w:w="0" w:type="auto"/>
        <w:tblLayout w:type="fixed"/>
        <w:tblLook w:val="04A0"/>
      </w:tblPr>
      <w:tblGrid>
        <w:gridCol w:w="3258"/>
        <w:gridCol w:w="1440"/>
        <w:gridCol w:w="720"/>
        <w:gridCol w:w="990"/>
        <w:gridCol w:w="1350"/>
      </w:tblGrid>
      <w:tr w:rsidR="00D96B2C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C" w:rsidRDefault="00867299" w:rsidP="005F2DB8">
            <w:r>
              <w:t>Passes with Aerator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Two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pPr>
              <w:tabs>
                <w:tab w:val="left" w:pos="945"/>
              </w:tabs>
            </w:pPr>
            <w:r>
              <w:t>Three</w:t>
            </w:r>
            <w:r>
              <w:tab/>
            </w:r>
          </w:p>
        </w:tc>
      </w:tr>
      <w:tr w:rsidR="00A571A2" w:rsidTr="00B66BC3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/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 xml:space="preserve">             Average Depth in Inches</w:t>
            </w:r>
          </w:p>
        </w:tc>
      </w:tr>
      <w:tr w:rsidR="00D96B2C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Rep 1,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5.25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7.3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C" w:rsidRDefault="00D96B2C" w:rsidP="005F2DB8">
            <w:r>
              <w:t>9</w:t>
            </w:r>
          </w:p>
          <w:p w:rsidR="00D96B2C" w:rsidRDefault="00D96B2C" w:rsidP="005F2DB8"/>
        </w:tc>
      </w:tr>
      <w:tr w:rsidR="00D96B2C" w:rsidTr="00D96B2C">
        <w:trPr>
          <w:trHeight w:val="37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Rep 1,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5.8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7.9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C" w:rsidRDefault="00D96B2C" w:rsidP="005F2DB8">
            <w:r>
              <w:t>8.9</w:t>
            </w:r>
          </w:p>
        </w:tc>
      </w:tr>
      <w:tr w:rsidR="00D96B2C" w:rsidTr="00D96B2C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Rep 2,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4.5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5.75</w:t>
            </w:r>
          </w:p>
        </w:tc>
      </w:tr>
      <w:tr w:rsidR="00D96B2C" w:rsidTr="00D96B2C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Rep 2,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9.3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7.3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6.6</w:t>
            </w:r>
          </w:p>
        </w:tc>
      </w:tr>
      <w:tr w:rsidR="00D96B2C" w:rsidTr="00D96B2C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Rep 3,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0*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C" w:rsidRDefault="00D96B2C" w:rsidP="005F2DB8">
            <w:r>
              <w:t>4.5</w:t>
            </w:r>
          </w:p>
        </w:tc>
      </w:tr>
      <w:tr w:rsidR="00D96B2C" w:rsidTr="00D96B2C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Rep 3,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B2C" w:rsidRDefault="00D96B2C" w:rsidP="005F2DB8">
            <w:r>
              <w:t>7.4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B2C" w:rsidRDefault="00D96B2C" w:rsidP="005F2DB8">
            <w:r>
              <w:t>7.3</w:t>
            </w:r>
          </w:p>
        </w:tc>
      </w:tr>
    </w:tbl>
    <w:p w:rsidR="00D96B2C" w:rsidRDefault="00D96B2C" w:rsidP="00D96B2C">
      <w:r>
        <w:t>* There were visible tire tracks over this plot from the farm driving on the plot so no samples were taken</w:t>
      </w:r>
    </w:p>
    <w:p w:rsidR="00D96B2C" w:rsidRDefault="00D96B2C"/>
    <w:p w:rsidR="00A571A2" w:rsidRDefault="00D9519C">
      <w:r>
        <w:t>West Have S</w:t>
      </w:r>
      <w:r w:rsidR="00A571A2">
        <w:t>i</w:t>
      </w:r>
      <w:r>
        <w:t>t</w:t>
      </w:r>
      <w:r w:rsidR="00A571A2">
        <w:t>e:</w:t>
      </w:r>
    </w:p>
    <w:p w:rsidR="00A571A2" w:rsidRDefault="00A571A2"/>
    <w:tbl>
      <w:tblPr>
        <w:tblStyle w:val="TableGrid"/>
        <w:tblW w:w="0" w:type="auto"/>
        <w:tblLayout w:type="fixed"/>
        <w:tblLook w:val="04A0"/>
      </w:tblPr>
      <w:tblGrid>
        <w:gridCol w:w="3258"/>
        <w:gridCol w:w="1440"/>
        <w:gridCol w:w="720"/>
        <w:gridCol w:w="990"/>
        <w:gridCol w:w="1350"/>
      </w:tblGrid>
      <w:tr w:rsidR="00A571A2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867299" w:rsidP="005F2DB8">
            <w:r>
              <w:t>Passes with Aerator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Two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pPr>
              <w:tabs>
                <w:tab w:val="left" w:pos="945"/>
              </w:tabs>
            </w:pPr>
            <w:r>
              <w:t>Three</w:t>
            </w:r>
            <w:r>
              <w:tab/>
            </w:r>
          </w:p>
        </w:tc>
      </w:tr>
      <w:tr w:rsidR="00A571A2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/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 xml:space="preserve">             Average Depth in Inches</w:t>
            </w:r>
          </w:p>
        </w:tc>
      </w:tr>
      <w:tr w:rsidR="00A571A2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1,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4.75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4.50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6.25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>7.00</w:t>
            </w:r>
          </w:p>
          <w:p w:rsidR="00A571A2" w:rsidRDefault="00A571A2" w:rsidP="005F2DB8"/>
        </w:tc>
      </w:tr>
      <w:tr w:rsidR="00A571A2" w:rsidTr="005F2DB8">
        <w:trPr>
          <w:trHeight w:val="37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1,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12.3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10.3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>12.7</w:t>
            </w:r>
          </w:p>
        </w:tc>
      </w:tr>
      <w:tr w:rsidR="00A571A2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2,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5.5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5.5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8</w:t>
            </w:r>
          </w:p>
        </w:tc>
      </w:tr>
      <w:tr w:rsidR="00A571A2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2,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11.2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13.7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11.3</w:t>
            </w:r>
          </w:p>
        </w:tc>
      </w:tr>
      <w:tr w:rsidR="00A571A2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3,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4.75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7.25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5.75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>7.25</w:t>
            </w:r>
          </w:p>
        </w:tc>
      </w:tr>
      <w:tr w:rsidR="00A571A2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3,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13.5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>13.5</w:t>
            </w:r>
          </w:p>
        </w:tc>
      </w:tr>
    </w:tbl>
    <w:p w:rsidR="00A571A2" w:rsidRDefault="00A571A2"/>
    <w:p w:rsidR="00867299" w:rsidRDefault="00867299"/>
    <w:p w:rsidR="00867299" w:rsidRDefault="00867299"/>
    <w:p w:rsidR="00A571A2" w:rsidRDefault="00A571A2">
      <w:r>
        <w:t>Clarendon Site:</w:t>
      </w:r>
    </w:p>
    <w:p w:rsidR="00A571A2" w:rsidRDefault="00A571A2"/>
    <w:tbl>
      <w:tblPr>
        <w:tblStyle w:val="TableGrid"/>
        <w:tblW w:w="0" w:type="auto"/>
        <w:tblLayout w:type="fixed"/>
        <w:tblLook w:val="04A0"/>
      </w:tblPr>
      <w:tblGrid>
        <w:gridCol w:w="3258"/>
        <w:gridCol w:w="1440"/>
        <w:gridCol w:w="720"/>
        <w:gridCol w:w="990"/>
        <w:gridCol w:w="1350"/>
      </w:tblGrid>
      <w:tr w:rsidR="00A571A2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867299" w:rsidP="005F2DB8">
            <w:r>
              <w:t>Passes with Aerator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Two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pPr>
              <w:tabs>
                <w:tab w:val="left" w:pos="945"/>
              </w:tabs>
            </w:pPr>
            <w:r>
              <w:t>Three</w:t>
            </w:r>
            <w:r>
              <w:tab/>
            </w:r>
          </w:p>
        </w:tc>
      </w:tr>
      <w:tr w:rsidR="00A571A2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/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 xml:space="preserve">             Average Depth in Inches</w:t>
            </w:r>
          </w:p>
        </w:tc>
      </w:tr>
      <w:tr w:rsidR="00A571A2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1,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5.6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A571A2">
            <w:r>
              <w:t>7</w:t>
            </w:r>
          </w:p>
        </w:tc>
      </w:tr>
      <w:tr w:rsidR="00A571A2" w:rsidTr="005F2DB8">
        <w:trPr>
          <w:trHeight w:val="37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1,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7.8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7.1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>8</w:t>
            </w:r>
          </w:p>
        </w:tc>
      </w:tr>
      <w:tr w:rsidR="00A571A2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2,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5.4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6.6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7.2</w:t>
            </w:r>
          </w:p>
        </w:tc>
      </w:tr>
      <w:tr w:rsidR="00A571A2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2,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4.9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5.5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6.5</w:t>
            </w:r>
          </w:p>
        </w:tc>
      </w:tr>
      <w:tr w:rsidR="00A571A2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3,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>9.8</w:t>
            </w:r>
          </w:p>
        </w:tc>
      </w:tr>
      <w:tr w:rsidR="00A571A2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Rep 3,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7.9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A2" w:rsidRDefault="00A571A2" w:rsidP="005F2DB8">
            <w:r>
              <w:t>6.3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1A2" w:rsidRDefault="00A571A2" w:rsidP="005F2DB8">
            <w:r>
              <w:t>7.3</w:t>
            </w:r>
          </w:p>
        </w:tc>
      </w:tr>
    </w:tbl>
    <w:p w:rsidR="00A571A2" w:rsidRDefault="00867299">
      <w:r>
        <w:t>* It should be noted that this site was under water for ~10 days after Tropical Storm Irene in 2011</w:t>
      </w:r>
    </w:p>
    <w:p w:rsidR="00D9519C" w:rsidRDefault="00D9519C"/>
    <w:p w:rsidR="00D9519C" w:rsidRDefault="00D9519C">
      <w:r>
        <w:t>East Wallingford Site:</w:t>
      </w:r>
    </w:p>
    <w:p w:rsidR="00D9519C" w:rsidRDefault="00D9519C"/>
    <w:tbl>
      <w:tblPr>
        <w:tblStyle w:val="TableGrid"/>
        <w:tblW w:w="0" w:type="auto"/>
        <w:tblLayout w:type="fixed"/>
        <w:tblLook w:val="04A0"/>
      </w:tblPr>
      <w:tblGrid>
        <w:gridCol w:w="3258"/>
        <w:gridCol w:w="1440"/>
        <w:gridCol w:w="720"/>
        <w:gridCol w:w="990"/>
      </w:tblGrid>
      <w:tr w:rsidR="00D9519C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9C" w:rsidRDefault="00867299" w:rsidP="005F2DB8">
            <w:r>
              <w:t>Passes with Aerator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9C" w:rsidRDefault="00D9519C" w:rsidP="005F2DB8">
            <w:r>
              <w:t>Control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9C" w:rsidRDefault="00D9519C" w:rsidP="005F2DB8">
            <w:r>
              <w:t>One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19C" w:rsidRDefault="00D9519C" w:rsidP="005F2DB8">
            <w:r>
              <w:t>Two</w:t>
            </w:r>
          </w:p>
        </w:tc>
      </w:tr>
      <w:tr w:rsidR="00867299" w:rsidTr="00395BC6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9" w:rsidRDefault="00867299" w:rsidP="005F2DB8"/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99" w:rsidRDefault="00867299" w:rsidP="00FC1055">
            <w:r>
              <w:t xml:space="preserve">      Average Depth in Inches</w:t>
            </w:r>
          </w:p>
        </w:tc>
      </w:tr>
      <w:tr w:rsidR="00867299" w:rsidTr="005F2DB8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Rep 1,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5.8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6.8</w:t>
            </w:r>
          </w:p>
        </w:tc>
      </w:tr>
      <w:tr w:rsidR="00867299" w:rsidTr="005F2DB8">
        <w:trPr>
          <w:trHeight w:val="37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Rep 1,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10.3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11.3</w:t>
            </w:r>
          </w:p>
        </w:tc>
      </w:tr>
      <w:tr w:rsidR="00867299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Rep 2,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6.6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5.8</w:t>
            </w:r>
          </w:p>
        </w:tc>
      </w:tr>
      <w:tr w:rsidR="00867299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Rep 2,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5.7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6.9</w:t>
            </w:r>
          </w:p>
        </w:tc>
      </w:tr>
      <w:tr w:rsidR="00867299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Rep 3,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6.8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6.6</w:t>
            </w:r>
          </w:p>
        </w:tc>
      </w:tr>
      <w:tr w:rsidR="00867299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Rep 3,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8.1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10.5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8.3</w:t>
            </w:r>
          </w:p>
        </w:tc>
      </w:tr>
      <w:tr w:rsidR="00867299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Rep 4, 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4.6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7.8</w:t>
            </w:r>
          </w:p>
        </w:tc>
      </w:tr>
      <w:tr w:rsidR="00867299" w:rsidTr="005F2DB8">
        <w:trPr>
          <w:trHeight w:val="4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Rep 4, 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10.1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10.3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299" w:rsidRDefault="00867299" w:rsidP="005F2DB8">
            <w:r>
              <w:t>10.3</w:t>
            </w:r>
          </w:p>
        </w:tc>
      </w:tr>
    </w:tbl>
    <w:p w:rsidR="00D9519C" w:rsidRDefault="00D9519C"/>
    <w:p w:rsidR="001829CD" w:rsidRDefault="001829CD"/>
    <w:p w:rsidR="001829CD" w:rsidRDefault="001829CD"/>
    <w:p w:rsidR="001829CD" w:rsidRDefault="001829CD"/>
    <w:p w:rsidR="001829CD" w:rsidRDefault="001829CD"/>
    <w:sectPr w:rsidR="001829CD" w:rsidSect="00B22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6B2C"/>
    <w:rsid w:val="001829CD"/>
    <w:rsid w:val="002D458F"/>
    <w:rsid w:val="004542B2"/>
    <w:rsid w:val="004A4776"/>
    <w:rsid w:val="006A6A9F"/>
    <w:rsid w:val="007D1FC1"/>
    <w:rsid w:val="007F4BE0"/>
    <w:rsid w:val="00867299"/>
    <w:rsid w:val="0096376B"/>
    <w:rsid w:val="009F736D"/>
    <w:rsid w:val="00A571A2"/>
    <w:rsid w:val="00A66461"/>
    <w:rsid w:val="00AB6601"/>
    <w:rsid w:val="00B177E1"/>
    <w:rsid w:val="00B22E90"/>
    <w:rsid w:val="00BB5DE3"/>
    <w:rsid w:val="00C60750"/>
    <w:rsid w:val="00D81123"/>
    <w:rsid w:val="00D94783"/>
    <w:rsid w:val="00D9519C"/>
    <w:rsid w:val="00D96B2C"/>
    <w:rsid w:val="00E40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7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PMNRCD</cp:lastModifiedBy>
  <cp:revision>7</cp:revision>
  <dcterms:created xsi:type="dcterms:W3CDTF">2013-01-24T18:17:00Z</dcterms:created>
  <dcterms:modified xsi:type="dcterms:W3CDTF">2013-01-24T21:17:00Z</dcterms:modified>
</cp:coreProperties>
</file>