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b/>
          <w:bCs/>
          <w:sz w:val="20"/>
          <w:szCs w:val="20"/>
        </w:rPr>
        <w:t>Household Acids and Bases</w:t>
      </w:r>
      <w:r w:rsidRPr="00680525">
        <w:rPr>
          <w:rFonts w:ascii="Courier New" w:hAnsi="Courier New" w:cs="Courier New"/>
          <w:sz w:val="20"/>
          <w:szCs w:val="20"/>
        </w:rPr>
        <w:br/>
        <w:t xml:space="preserve"> </w:t>
      </w:r>
      <w:r w:rsidRPr="00680525">
        <w:rPr>
          <w:rFonts w:ascii="Courier New" w:hAnsi="Courier New" w:cs="Courier New"/>
          <w:sz w:val="20"/>
          <w:szCs w:val="20"/>
        </w:rPr>
        <w:br/>
      </w:r>
      <w:proofErr w:type="spellStart"/>
      <w:r w:rsidRPr="00680525">
        <w:rPr>
          <w:rFonts w:ascii="Courier New" w:hAnsi="Courier New" w:cs="Courier New"/>
          <w:sz w:val="20"/>
          <w:szCs w:val="20"/>
        </w:rPr>
        <w:t>Veasley</w:t>
      </w:r>
      <w:proofErr w:type="spellEnd"/>
      <w:r w:rsidRPr="00680525">
        <w:rPr>
          <w:rFonts w:ascii="Courier New" w:hAnsi="Courier New" w:cs="Courier New"/>
          <w:sz w:val="20"/>
          <w:szCs w:val="20"/>
        </w:rPr>
        <w:t>, Joyce                         Nansen Elementary</w:t>
      </w:r>
      <w:r w:rsidRPr="00680525">
        <w:rPr>
          <w:rFonts w:ascii="Courier New" w:hAnsi="Courier New" w:cs="Courier New"/>
          <w:sz w:val="20"/>
          <w:szCs w:val="20"/>
        </w:rPr>
        <w:br/>
        <w:t xml:space="preserve">                                       821-2785</w:t>
      </w:r>
      <w:r w:rsidRPr="00680525">
        <w:rPr>
          <w:rFonts w:ascii="Courier New" w:hAnsi="Courier New" w:cs="Courier New"/>
          <w:sz w:val="20"/>
          <w:szCs w:val="20"/>
        </w:rPr>
        <w:br/>
        <w:t xml:space="preserve">                          </w:t>
      </w:r>
      <w:r w:rsidRPr="00680525">
        <w:rPr>
          <w:rFonts w:ascii="Courier New" w:hAnsi="Courier New" w:cs="Courier New"/>
          <w:sz w:val="20"/>
          <w:szCs w:val="20"/>
        </w:rPr>
        <w:br/>
      </w:r>
      <w:r w:rsidRPr="00680525">
        <w:rPr>
          <w:rFonts w:ascii="Courier New" w:hAnsi="Courier New" w:cs="Courier New"/>
          <w:sz w:val="20"/>
          <w:szCs w:val="20"/>
        </w:rPr>
        <w:br/>
      </w:r>
      <w:r w:rsidRPr="00680525">
        <w:rPr>
          <w:rFonts w:ascii="Courier New" w:hAnsi="Courier New" w:cs="Courier New"/>
          <w:b/>
          <w:bCs/>
          <w:sz w:val="20"/>
          <w:szCs w:val="20"/>
        </w:rPr>
        <w:t>Objectives: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1. The learners will be able to determine whether a substance dissolved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in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water will form an acid, a base or a neutral solution.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2. The learners will be able to infer the presence of acids or bases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from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evidence in the demonstration of interactions of common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household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products and an indicator.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b/>
          <w:bCs/>
          <w:sz w:val="20"/>
          <w:szCs w:val="20"/>
        </w:rPr>
        <w:t>Apparatus Needed: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1. Egg Cartons (one for every two students)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2. Litmus Paper (red and blue)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3. 10 Household solutions:                                           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a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lemon juice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b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bleach-water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c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water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d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aspirin-water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e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milk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f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ammonia-water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g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tea (concentrated)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h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vinegar-water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680525">
        <w:rPr>
          <w:rFonts w:ascii="Courier New" w:hAnsi="Courier New" w:cs="Courier New"/>
          <w:sz w:val="20"/>
          <w:szCs w:val="20"/>
        </w:rPr>
        <w:t>i</w:t>
      </w:r>
      <w:proofErr w:type="spellEnd"/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soap-water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525">
        <w:rPr>
          <w:rFonts w:ascii="Courier New" w:hAnsi="Courier New" w:cs="Courier New"/>
          <w:sz w:val="20"/>
          <w:szCs w:val="20"/>
        </w:rPr>
        <w:t>j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>. your saliva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4.  10 Eye Droppers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5.  10 Small Containers, or Clear Cups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   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6.  Red Cabbage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7.  100 mL Water                             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8.  8 Test Tubes  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9.  Tube 1. 10 mL of Lemon Juice             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10. Tube 2. 10 mL of White Vinegar  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11. Tube 3. 10 mL of Boric Acid Solution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12. Tube 4. 10 mL of Water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13. Tube 5. 10 mL of Sodium Bicarbonate Solution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14. Tube 6. 10 mL of Borax Solution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15. Tube 7. 10 mL of Washing Soda Solution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16. Tube 8. 10 mL of Drain Cleaner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17. Test Tube Holder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18. Beakers, 100 and 250 mL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19. Burner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b/>
          <w:bCs/>
          <w:sz w:val="20"/>
          <w:szCs w:val="20"/>
        </w:rPr>
        <w:t>Recommended Strategy: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>Place solutions of a-</w:t>
      </w:r>
      <w:proofErr w:type="spellStart"/>
      <w:r w:rsidRPr="00680525">
        <w:rPr>
          <w:rFonts w:ascii="Courier New" w:hAnsi="Courier New" w:cs="Courier New"/>
          <w:sz w:val="20"/>
          <w:szCs w:val="20"/>
        </w:rPr>
        <w:t>i</w:t>
      </w:r>
      <w:proofErr w:type="spellEnd"/>
      <w:r w:rsidRPr="00680525">
        <w:rPr>
          <w:rFonts w:ascii="Courier New" w:hAnsi="Courier New" w:cs="Courier New"/>
          <w:sz w:val="20"/>
          <w:szCs w:val="20"/>
        </w:rPr>
        <w:t xml:space="preserve"> in small cups numbered 1-10. Make a testing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board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by numbering egg carton cups 1-10. Place 5 drops of each solution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in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the corresponding numbered egg carton cup. Test each solution with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the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red and blue litmus paper. Record your results on a chart for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comparison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.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Prepare a solution of red cabbage by placing enough red cabbage to fill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a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250 mL beaker one-fourth full. Add about 100 mL of water and boil until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the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solution turns deep purple. Cool. Pour off the liquid.  This is the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indicator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solution.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Pour 3 mL of indicator solution in each of the 8 test tubes. Add the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solutions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listed in apparatus section of writing (test tube #1-8). Mix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contents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in each tube with a stirring rod.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Observe the gradual color change. Determine the pH value of solutions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tested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using pH paper. You might prepare some unknowns for the students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to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determine the pH values. Put a chart on the blackboard for them to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record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their data for class comparison.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80525">
        <w:rPr>
          <w:rFonts w:ascii="Courier New" w:hAnsi="Courier New" w:cs="Courier New"/>
          <w:sz w:val="20"/>
          <w:szCs w:val="20"/>
        </w:rPr>
        <w:t xml:space="preserve">Several other natural indicators can be used for this activity: beet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juice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, carrot juice, grape juice, blueberry juice, and flowers, </w:t>
      </w:r>
    </w:p>
    <w:p w:rsidR="00680525" w:rsidRPr="00680525" w:rsidRDefault="00680525" w:rsidP="0068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680525">
        <w:rPr>
          <w:rFonts w:ascii="Courier New" w:hAnsi="Courier New" w:cs="Courier New"/>
          <w:sz w:val="20"/>
          <w:szCs w:val="20"/>
        </w:rPr>
        <w:t>including</w:t>
      </w:r>
      <w:proofErr w:type="gramEnd"/>
      <w:r w:rsidRPr="00680525">
        <w:rPr>
          <w:rFonts w:ascii="Courier New" w:hAnsi="Courier New" w:cs="Courier New"/>
          <w:sz w:val="20"/>
          <w:szCs w:val="20"/>
        </w:rPr>
        <w:t xml:space="preserve"> the blue iris, purple dahlia, and purple hollyhock. </w:t>
      </w:r>
    </w:p>
    <w:p w:rsidR="00EB643E" w:rsidRDefault="00EB643E">
      <w:bookmarkStart w:id="0" w:name="_GoBack"/>
      <w:bookmarkEnd w:id="0"/>
    </w:p>
    <w:sectPr w:rsidR="00EB6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25"/>
    <w:rsid w:val="0015590E"/>
    <w:rsid w:val="00491D0F"/>
    <w:rsid w:val="00543606"/>
    <w:rsid w:val="00680525"/>
    <w:rsid w:val="00D354BF"/>
    <w:rsid w:val="00E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A-Frame Farm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Fernholz</dc:creator>
  <cp:lastModifiedBy>Carmen Fernholz</cp:lastModifiedBy>
  <cp:revision>1</cp:revision>
  <dcterms:created xsi:type="dcterms:W3CDTF">2012-12-29T16:07:00Z</dcterms:created>
  <dcterms:modified xsi:type="dcterms:W3CDTF">2012-12-29T16:08:00Z</dcterms:modified>
</cp:coreProperties>
</file>