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word/charts/chart1.xml" ContentType="application/vnd.openxmlformats-officedocument.drawingml.chart+xml"/>
  <Override PartName="/word/webSettings.xml" ContentType="application/vnd.openxmlformats-officedocument.wordprocessingml.webSettings+xml"/>
  <Default Extension="png" ContentType="image/png"/>
  <Override PartName="/word/theme/theme1.xml" ContentType="application/vnd.openxmlformats-officedocument.theme+xml"/>
  <Default Extension="rels" ContentType="application/vnd.openxmlformats-package.relationships+xml"/>
  <Override PartName="/word/charts/chart2.xml" ContentType="application/vnd.openxmlformats-officedocument.drawingml.chart+xml"/>
  <Override PartName="/word/styles.xml" ContentType="application/vnd.openxmlformats-officedocument.wordprocessingml.styles+xml"/>
  <Override PartName="/word/drawings/drawing1.xml" ContentType="application/vnd.openxmlformats-officedocument.drawingml.chartshapes+xml"/>
  <Override PartName="/word/settings.xml" ContentType="application/vnd.openxmlformats-officedocument.wordprocessingml.settings+xml"/>
  <Override PartName="/word/charts/chart3.xml" ContentType="application/vnd.openxmlformats-officedocument.drawingml.chart+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33F92" w:rsidRDefault="00933F92" w:rsidP="0062714E">
      <w:pPr>
        <w:jc w:val="center"/>
        <w:rPr>
          <w:b/>
          <w:sz w:val="28"/>
          <w:szCs w:val="28"/>
        </w:rPr>
      </w:pPr>
      <w:r>
        <w:rPr>
          <w:noProof/>
        </w:rPr>
        <w:drawing>
          <wp:inline distT="0" distB="0" distL="0" distR="0">
            <wp:extent cx="4972050" cy="11334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4972050" cy="1133475"/>
                    </a:xfrm>
                    <a:prstGeom prst="rect">
                      <a:avLst/>
                    </a:prstGeom>
                    <a:noFill/>
                    <a:ln w="9525">
                      <a:noFill/>
                      <a:miter lim="800000"/>
                      <a:headEnd/>
                      <a:tailEnd/>
                    </a:ln>
                  </pic:spPr>
                </pic:pic>
              </a:graphicData>
            </a:graphic>
          </wp:inline>
        </w:drawing>
      </w:r>
    </w:p>
    <w:p w:rsidR="0062714E" w:rsidRPr="0062714E" w:rsidRDefault="0062714E" w:rsidP="0062714E">
      <w:pPr>
        <w:jc w:val="center"/>
        <w:rPr>
          <w:b/>
          <w:sz w:val="28"/>
          <w:szCs w:val="28"/>
        </w:rPr>
      </w:pPr>
      <w:r w:rsidRPr="0062714E">
        <w:rPr>
          <w:b/>
          <w:sz w:val="28"/>
          <w:szCs w:val="28"/>
        </w:rPr>
        <w:t xml:space="preserve">Experiment </w:t>
      </w:r>
      <w:r w:rsidR="001E22C2">
        <w:rPr>
          <w:b/>
          <w:sz w:val="28"/>
          <w:szCs w:val="28"/>
        </w:rPr>
        <w:t>Four</w:t>
      </w:r>
      <w:r w:rsidR="00D928A4">
        <w:rPr>
          <w:b/>
          <w:sz w:val="28"/>
          <w:szCs w:val="28"/>
        </w:rPr>
        <w:t xml:space="preserve"> (200</w:t>
      </w:r>
      <w:r w:rsidR="0001182D">
        <w:rPr>
          <w:b/>
          <w:sz w:val="28"/>
          <w:szCs w:val="28"/>
        </w:rPr>
        <w:t>9</w:t>
      </w:r>
      <w:r w:rsidR="00D928A4">
        <w:rPr>
          <w:b/>
          <w:sz w:val="28"/>
          <w:szCs w:val="28"/>
        </w:rPr>
        <w:t>)</w:t>
      </w:r>
    </w:p>
    <w:p w:rsidR="0062714E" w:rsidRDefault="0062714E" w:rsidP="00AB1F7C">
      <w:pPr>
        <w:jc w:val="center"/>
        <w:rPr>
          <w:b/>
          <w:sz w:val="28"/>
          <w:szCs w:val="28"/>
        </w:rPr>
      </w:pPr>
      <w:r w:rsidRPr="0062714E">
        <w:rPr>
          <w:b/>
          <w:sz w:val="28"/>
          <w:szCs w:val="28"/>
        </w:rPr>
        <w:t xml:space="preserve">Efficacy of </w:t>
      </w:r>
      <w:r w:rsidR="00AB1F7C">
        <w:rPr>
          <w:b/>
          <w:sz w:val="28"/>
          <w:szCs w:val="28"/>
        </w:rPr>
        <w:t xml:space="preserve">a </w:t>
      </w:r>
      <w:r w:rsidRPr="0062714E">
        <w:rPr>
          <w:b/>
          <w:sz w:val="28"/>
          <w:szCs w:val="28"/>
        </w:rPr>
        <w:t>pumpkin seed</w:t>
      </w:r>
      <w:r w:rsidR="00AB1F7C">
        <w:rPr>
          <w:b/>
          <w:sz w:val="28"/>
          <w:szCs w:val="28"/>
        </w:rPr>
        <w:t xml:space="preserve"> drench </w:t>
      </w:r>
      <w:r w:rsidR="0001182D">
        <w:rPr>
          <w:b/>
          <w:sz w:val="28"/>
          <w:szCs w:val="28"/>
        </w:rPr>
        <w:t xml:space="preserve">and ginger </w:t>
      </w:r>
      <w:r w:rsidRPr="0062714E">
        <w:rPr>
          <w:b/>
          <w:sz w:val="28"/>
          <w:szCs w:val="28"/>
        </w:rPr>
        <w:t>in</w:t>
      </w:r>
      <w:r w:rsidR="00AB1F7C">
        <w:rPr>
          <w:b/>
          <w:sz w:val="28"/>
          <w:szCs w:val="28"/>
        </w:rPr>
        <w:t xml:space="preserve"> </w:t>
      </w:r>
      <w:r w:rsidRPr="0062714E">
        <w:rPr>
          <w:b/>
          <w:sz w:val="28"/>
          <w:szCs w:val="28"/>
        </w:rPr>
        <w:t xml:space="preserve">reducing fecal egg counts in </w:t>
      </w:r>
      <w:r w:rsidR="00AB1F7C">
        <w:rPr>
          <w:b/>
          <w:sz w:val="28"/>
          <w:szCs w:val="28"/>
        </w:rPr>
        <w:t xml:space="preserve">meat </w:t>
      </w:r>
      <w:r w:rsidRPr="0062714E">
        <w:rPr>
          <w:b/>
          <w:sz w:val="28"/>
          <w:szCs w:val="28"/>
        </w:rPr>
        <w:t>goat</w:t>
      </w:r>
      <w:r w:rsidR="0001182D">
        <w:rPr>
          <w:b/>
          <w:sz w:val="28"/>
          <w:szCs w:val="28"/>
        </w:rPr>
        <w:t xml:space="preserve"> kid</w:t>
      </w:r>
      <w:r w:rsidRPr="0062714E">
        <w:rPr>
          <w:b/>
          <w:sz w:val="28"/>
          <w:szCs w:val="28"/>
        </w:rPr>
        <w:t>s</w:t>
      </w:r>
    </w:p>
    <w:p w:rsidR="0062714E" w:rsidRPr="0062714E" w:rsidRDefault="0062714E" w:rsidP="0001182D">
      <w:pPr>
        <w:rPr>
          <w:i/>
        </w:rPr>
      </w:pPr>
      <w:r w:rsidRPr="0062714E">
        <w:rPr>
          <w:i/>
          <w:u w:val="single"/>
        </w:rPr>
        <w:t>Procedure:</w:t>
      </w:r>
      <w:r w:rsidRPr="0062714E">
        <w:rPr>
          <w:i/>
        </w:rPr>
        <w:t xml:space="preserve"> </w:t>
      </w:r>
    </w:p>
    <w:p w:rsidR="0062714E" w:rsidRDefault="0062714E" w:rsidP="0001182D"/>
    <w:p w:rsidR="006C6046" w:rsidRPr="00DC40F1" w:rsidRDefault="0001182D" w:rsidP="0001182D">
      <w:pPr>
        <w:pStyle w:val="Default"/>
      </w:pPr>
      <w:r>
        <w:t xml:space="preserve">Five month old </w:t>
      </w:r>
      <w:r w:rsidR="006C6046" w:rsidRPr="00DC40F1">
        <w:t>Boer crossbred meat goat kids</w:t>
      </w:r>
      <w:r>
        <w:t xml:space="preserve"> </w:t>
      </w:r>
      <w:r w:rsidR="006C6046" w:rsidRPr="00DC40F1">
        <w:t xml:space="preserve">were </w:t>
      </w:r>
      <w:r>
        <w:t>placed in</w:t>
      </w:r>
      <w:r w:rsidR="001218AC">
        <w:t xml:space="preserve"> </w:t>
      </w:r>
      <w:r w:rsidR="001218AC" w:rsidRPr="00DC40F1">
        <w:t xml:space="preserve">individual pens </w:t>
      </w:r>
      <w:r w:rsidR="001218AC">
        <w:t xml:space="preserve">(4 ft x 4 ft) </w:t>
      </w:r>
      <w:r w:rsidR="001218AC" w:rsidRPr="00DC40F1">
        <w:t xml:space="preserve">on solid concrete floors </w:t>
      </w:r>
      <w:r w:rsidR="001218AC">
        <w:t xml:space="preserve">into </w:t>
      </w:r>
      <w:r w:rsidR="006C6046" w:rsidRPr="00DC40F1">
        <w:t>one of two treatment</w:t>
      </w:r>
      <w:r>
        <w:t xml:space="preserve"> groups.  </w:t>
      </w:r>
      <w:r w:rsidR="001218AC">
        <w:t xml:space="preserve">All kids </w:t>
      </w:r>
      <w:r w:rsidR="006C6046" w:rsidRPr="00DC40F1">
        <w:t xml:space="preserve">received a commercially </w:t>
      </w:r>
      <w:proofErr w:type="spellStart"/>
      <w:r w:rsidR="006C6046" w:rsidRPr="00DC40F1">
        <w:t>pelleted</w:t>
      </w:r>
      <w:proofErr w:type="spellEnd"/>
      <w:r w:rsidR="006C6046" w:rsidRPr="00DC40F1">
        <w:t xml:space="preserve"> 15% </w:t>
      </w:r>
      <w:r w:rsidR="00D93C6B">
        <w:t xml:space="preserve">crude protein </w:t>
      </w:r>
      <w:r w:rsidR="006C6046" w:rsidRPr="00DC40F1">
        <w:t xml:space="preserve">meat goat feed </w:t>
      </w:r>
      <w:r w:rsidR="00D93C6B">
        <w:t xml:space="preserve">from </w:t>
      </w:r>
      <w:r w:rsidR="006C6046" w:rsidRPr="00DC40F1">
        <w:t>Southern States</w:t>
      </w:r>
      <w:r w:rsidR="00D93C6B">
        <w:t xml:space="preserve">.  </w:t>
      </w:r>
      <w:r w:rsidR="006C6046" w:rsidRPr="00DC40F1">
        <w:t xml:space="preserve">In </w:t>
      </w:r>
      <w:r w:rsidR="006C6046">
        <w:t xml:space="preserve">this experiment, </w:t>
      </w:r>
      <w:r w:rsidR="005D7428">
        <w:t xml:space="preserve">ten </w:t>
      </w:r>
      <w:r w:rsidR="00F9736E">
        <w:t xml:space="preserve">kids were </w:t>
      </w:r>
      <w:r w:rsidR="00D93C6B">
        <w:t xml:space="preserve">drenched </w:t>
      </w:r>
      <w:r w:rsidR="00F9736E">
        <w:t xml:space="preserve">with </w:t>
      </w:r>
      <w:r w:rsidR="006C6046" w:rsidRPr="00DC40F1">
        <w:t>water (</w:t>
      </w:r>
      <w:r w:rsidR="008943B5">
        <w:t>untreated</w:t>
      </w:r>
      <w:r w:rsidR="006C6046" w:rsidRPr="00DC40F1">
        <w:t xml:space="preserve">), </w:t>
      </w:r>
      <w:r w:rsidR="00F9736E">
        <w:t xml:space="preserve">ten kids received </w:t>
      </w:r>
      <w:r w:rsidR="002D4A15">
        <w:t xml:space="preserve">a </w:t>
      </w:r>
      <w:r w:rsidR="00F9736E">
        <w:t xml:space="preserve">pumpkin seed drench </w:t>
      </w:r>
      <w:r w:rsidR="002D4A15">
        <w:t xml:space="preserve">(prepared so that each received </w:t>
      </w:r>
      <w:r w:rsidR="00F9736E">
        <w:t xml:space="preserve">6 ounces </w:t>
      </w:r>
      <w:r w:rsidR="006C6046" w:rsidRPr="00DC40F1">
        <w:t>pumpkin seed/</w:t>
      </w:r>
      <w:r w:rsidR="00F9736E">
        <w:t>75 lbs body weight</w:t>
      </w:r>
      <w:r w:rsidR="002D4A15">
        <w:t xml:space="preserve">), </w:t>
      </w:r>
      <w:r w:rsidR="00A72A7B">
        <w:t xml:space="preserve">or </w:t>
      </w:r>
      <w:r w:rsidR="005D7428">
        <w:t xml:space="preserve">ten </w:t>
      </w:r>
      <w:r w:rsidR="002D4A15">
        <w:t xml:space="preserve">kids received </w:t>
      </w:r>
      <w:r w:rsidR="007C1BB6">
        <w:t>a ginger drench (</w:t>
      </w:r>
      <w:r w:rsidR="002D4A15">
        <w:t xml:space="preserve">prepared so that each received 1.4 g/lb of body weight) </w:t>
      </w:r>
      <w:r w:rsidR="006C6046" w:rsidRPr="00DC40F1">
        <w:t xml:space="preserve">every other day for 42 d.  </w:t>
      </w:r>
      <w:r w:rsidR="006C6046">
        <w:t xml:space="preserve">Pumpkins were purchased from Fifer Orchard in Dover, DE and seeds were removed for use in this study.   </w:t>
      </w:r>
      <w:r w:rsidR="006C6046" w:rsidRPr="00DC40F1">
        <w:t xml:space="preserve">The pumpkin seed drench was prepared from a traditional method for the treatment of </w:t>
      </w:r>
      <w:r w:rsidR="002D4A15">
        <w:t>worms i</w:t>
      </w:r>
      <w:r w:rsidR="006C6046" w:rsidRPr="00DC40F1">
        <w:t xml:space="preserve">n sheep by </w:t>
      </w:r>
      <w:r w:rsidR="006C6046">
        <w:t xml:space="preserve">adding 500 – 600 </w:t>
      </w:r>
      <w:r w:rsidR="006C6046" w:rsidRPr="00DC40F1">
        <w:t xml:space="preserve">g of </w:t>
      </w:r>
      <w:r w:rsidR="006C6046">
        <w:t xml:space="preserve">ground </w:t>
      </w:r>
      <w:r w:rsidR="006C6046" w:rsidRPr="00DC40F1">
        <w:t xml:space="preserve">pumpkin seeds in 3 </w:t>
      </w:r>
      <w:r w:rsidR="002D4A15">
        <w:t>liters of</w:t>
      </w:r>
      <w:r w:rsidR="006C6046" w:rsidRPr="00DC40F1">
        <w:t xml:space="preserve"> water</w:t>
      </w:r>
      <w:r w:rsidR="002D4A15">
        <w:t xml:space="preserve"> and simmering to </w:t>
      </w:r>
      <w:r w:rsidR="006C6046" w:rsidRPr="00DC40F1">
        <w:t>remov</w:t>
      </w:r>
      <w:r w:rsidR="002D4A15">
        <w:t xml:space="preserve">e </w:t>
      </w:r>
      <w:r w:rsidR="006C6046" w:rsidRPr="00DC40F1">
        <w:t>excess water</w:t>
      </w:r>
      <w:r w:rsidR="002D4A15">
        <w:t xml:space="preserve">.  </w:t>
      </w:r>
      <w:r w:rsidR="006C6046" w:rsidRPr="00DC40F1">
        <w:t>The ginger drench was prepared by grinding 300</w:t>
      </w:r>
      <w:r w:rsidR="006C6046">
        <w:t xml:space="preserve"> - 500</w:t>
      </w:r>
      <w:r w:rsidR="006C6046" w:rsidRPr="00DC40F1">
        <w:t xml:space="preserve"> g of ginger in 100</w:t>
      </w:r>
      <w:r w:rsidR="006C6046">
        <w:t xml:space="preserve"> </w:t>
      </w:r>
      <w:r w:rsidR="006C6046" w:rsidRPr="00DC40F1">
        <w:t>ml of water</w:t>
      </w:r>
      <w:r w:rsidR="002D4A15">
        <w:t xml:space="preserve"> followed by straining to remove ginger trash. The a</w:t>
      </w:r>
      <w:r w:rsidR="006C6046">
        <w:t xml:space="preserve">mount of pumpkin seeds and ginger </w:t>
      </w:r>
      <w:r w:rsidR="002D4A15">
        <w:t xml:space="preserve">given to each animal </w:t>
      </w:r>
      <w:r w:rsidR="006C6046">
        <w:t xml:space="preserve">was determined weekly based on </w:t>
      </w:r>
      <w:r w:rsidR="002D4A15">
        <w:t xml:space="preserve">body weight </w:t>
      </w:r>
      <w:r w:rsidR="006C6046">
        <w:t xml:space="preserve">on sampling days.  </w:t>
      </w:r>
      <w:r w:rsidR="002D4A15">
        <w:t xml:space="preserve">Kid body weights were </w:t>
      </w:r>
      <w:r w:rsidR="006C6046" w:rsidRPr="00DC40F1">
        <w:t>measured weekly</w:t>
      </w:r>
      <w:r w:rsidR="002D4A15">
        <w:t xml:space="preserve"> for 42 days.  </w:t>
      </w:r>
      <w:r w:rsidR="006C6046" w:rsidRPr="00DC40F1">
        <w:t xml:space="preserve">Fecal samples were also collected at </w:t>
      </w:r>
      <w:r w:rsidR="002D4A15">
        <w:t>weighing to determine individual fecal egg counts</w:t>
      </w:r>
      <w:r w:rsidR="002D4A15" w:rsidRPr="002D4A15">
        <w:t xml:space="preserve"> </w:t>
      </w:r>
      <w:r w:rsidR="007C1BB6">
        <w:t xml:space="preserve">and group worm identification while blood samples were collected to determine </w:t>
      </w:r>
      <w:r w:rsidR="002D4A15" w:rsidRPr="00DC40F1">
        <w:t>packed cell volume (PCV)</w:t>
      </w:r>
      <w:r w:rsidR="002D4A15">
        <w:t>. The packed cell volume determines the anemia</w:t>
      </w:r>
      <w:r w:rsidR="00A72A7B">
        <w:t xml:space="preserve"> level in the animal as a possible indicator of barber pole worm infection.  If an individual animals’ PCV wa</w:t>
      </w:r>
      <w:r w:rsidR="00A72A7B">
        <w:rPr>
          <w:rFonts w:eastAsia="Times New Roman"/>
        </w:rPr>
        <w:t xml:space="preserve">s &lt; 15%, animals were dewormed with </w:t>
      </w:r>
      <w:proofErr w:type="spellStart"/>
      <w:r w:rsidR="00A72A7B">
        <w:rPr>
          <w:rFonts w:eastAsia="Times New Roman"/>
        </w:rPr>
        <w:t>moxidectin</w:t>
      </w:r>
      <w:proofErr w:type="spellEnd"/>
      <w:r w:rsidR="00A72A7B">
        <w:rPr>
          <w:rFonts w:eastAsia="Times New Roman"/>
        </w:rPr>
        <w:t xml:space="preserve"> (0.4 mg/kg) and removed from the study.</w:t>
      </w:r>
      <w:r w:rsidR="00A72A7B" w:rsidRPr="0034353B">
        <w:rPr>
          <w:rFonts w:eastAsia="Times New Roman"/>
        </w:rPr>
        <w:t xml:space="preserve"> </w:t>
      </w:r>
      <w:r w:rsidR="00E01332">
        <w:rPr>
          <w:rFonts w:eastAsia="Times New Roman"/>
        </w:rPr>
        <w:t xml:space="preserve"> All animals were slaughtered at the end of the study to determine stomach and intestinal worm counts.</w:t>
      </w:r>
      <w:r w:rsidR="00A72A7B" w:rsidRPr="0034353B">
        <w:rPr>
          <w:rFonts w:eastAsia="Times New Roman"/>
        </w:rPr>
        <w:t xml:space="preserve">   </w:t>
      </w:r>
      <w:r w:rsidR="00A72A7B">
        <w:t xml:space="preserve"> </w:t>
      </w:r>
    </w:p>
    <w:p w:rsidR="00D928A4" w:rsidRPr="00D928A4" w:rsidRDefault="00D928A4" w:rsidP="00D928A4">
      <w:pPr>
        <w:rPr>
          <w:bCs/>
          <w:i/>
        </w:rPr>
      </w:pPr>
    </w:p>
    <w:p w:rsidR="00D928A4" w:rsidRPr="00D928A4" w:rsidRDefault="0062714E" w:rsidP="0062714E">
      <w:pPr>
        <w:rPr>
          <w:i/>
        </w:rPr>
      </w:pPr>
      <w:r w:rsidRPr="00D928A4">
        <w:rPr>
          <w:i/>
          <w:u w:val="single"/>
        </w:rPr>
        <w:t>Results:</w:t>
      </w:r>
      <w:r w:rsidRPr="00D928A4">
        <w:rPr>
          <w:i/>
        </w:rPr>
        <w:t xml:space="preserve">  </w:t>
      </w:r>
    </w:p>
    <w:p w:rsidR="00D928A4" w:rsidRDefault="00D928A4" w:rsidP="0062714E"/>
    <w:p w:rsidR="0062714E" w:rsidRDefault="008943B5" w:rsidP="0062714E">
      <w:r>
        <w:t xml:space="preserve">During the 42-day period, three </w:t>
      </w:r>
      <w:r w:rsidRPr="00E638A0">
        <w:t xml:space="preserve">kids from the </w:t>
      </w:r>
      <w:r w:rsidR="005F12EB">
        <w:t>water/</w:t>
      </w:r>
      <w:r>
        <w:t>untreated</w:t>
      </w:r>
      <w:r w:rsidRPr="00E638A0">
        <w:t xml:space="preserve"> group and </w:t>
      </w:r>
      <w:r>
        <w:t xml:space="preserve">five kids </w:t>
      </w:r>
      <w:r w:rsidRPr="00E638A0">
        <w:t xml:space="preserve">from the </w:t>
      </w:r>
      <w:r w:rsidR="005F12EB">
        <w:t xml:space="preserve">ginger drenched </w:t>
      </w:r>
      <w:r w:rsidRPr="00E638A0">
        <w:t xml:space="preserve">group were dewormed and removed from the study.  Even though there were kids in the </w:t>
      </w:r>
      <w:r w:rsidR="005F12EB">
        <w:t xml:space="preserve">pumpkin drenched group </w:t>
      </w:r>
      <w:r w:rsidRPr="00E638A0">
        <w:t xml:space="preserve">with </w:t>
      </w:r>
      <w:r>
        <w:t xml:space="preserve">fecal egg counts </w:t>
      </w:r>
      <w:r w:rsidRPr="00E638A0">
        <w:t xml:space="preserve">as high as others in the </w:t>
      </w:r>
      <w:r w:rsidR="005F12EB">
        <w:t>other two groups, n</w:t>
      </w:r>
      <w:r w:rsidRPr="00E638A0">
        <w:t>one showed clinical signs of infe</w:t>
      </w:r>
      <w:r>
        <w:t xml:space="preserve">ction </w:t>
      </w:r>
      <w:r w:rsidRPr="00E638A0">
        <w:t>(</w:t>
      </w:r>
      <w:r w:rsidR="00EA4322">
        <w:t>PCV&lt;</w:t>
      </w:r>
      <w:r>
        <w:t xml:space="preserve">15%, </w:t>
      </w:r>
      <w:r w:rsidRPr="00E638A0">
        <w:t xml:space="preserve">diarrhea, </w:t>
      </w:r>
      <w:r>
        <w:t xml:space="preserve">or </w:t>
      </w:r>
      <w:r w:rsidRPr="00E638A0">
        <w:t>bottle jaw</w:t>
      </w:r>
      <w:r>
        <w:t xml:space="preserve">) </w:t>
      </w:r>
      <w:r w:rsidRPr="00E638A0">
        <w:t xml:space="preserve">and were therefore not </w:t>
      </w:r>
      <w:r w:rsidRPr="00AA44CA">
        <w:t>dewormed.   This indicates that the pumpkin seed drench might actually promote some resilience to high parasite infe</w:t>
      </w:r>
      <w:r>
        <w:t xml:space="preserve">ctions </w:t>
      </w:r>
      <w:r w:rsidRPr="00AA44CA">
        <w:t xml:space="preserve">and should be investigated further. </w:t>
      </w:r>
      <w:r>
        <w:t xml:space="preserve"> </w:t>
      </w:r>
      <w:r w:rsidR="009F525A">
        <w:t xml:space="preserve">Body weight increased steadily over the study period in all groups (Figure 1).  After 7 days on treatment, fecal egg counts were reduced by 23% in the </w:t>
      </w:r>
      <w:r w:rsidR="005F12EB">
        <w:t>water/</w:t>
      </w:r>
      <w:r w:rsidR="009F525A">
        <w:t>untreated group (CON), 32% in the ginger treated (GIN) group and by 60% in the pumpkin seed drench group (PUM</w:t>
      </w:r>
      <w:r w:rsidR="00AB2336">
        <w:t>; Figure 2</w:t>
      </w:r>
      <w:r w:rsidR="009F525A">
        <w:t xml:space="preserve">).  </w:t>
      </w:r>
      <w:r w:rsidR="00AB2336">
        <w:t xml:space="preserve">Figure 3 represents the PCV of each group over the 42 day period. </w:t>
      </w:r>
      <w:r w:rsidR="007C1BB6">
        <w:t>The</w:t>
      </w:r>
      <w:r w:rsidR="00AB2336">
        <w:t xml:space="preserve"> </w:t>
      </w:r>
      <w:r w:rsidR="007C1BB6">
        <w:t xml:space="preserve">untreated group barber pole worm population was 93% at the beginning of the study and increased to 97% at the end of the study.  For the ginger drenched group, </w:t>
      </w:r>
      <w:r w:rsidR="005F12EB">
        <w:t xml:space="preserve">barber pole worm population remained at 97% at the beginning and end of the study, whereas in the pumpkin seed drench group, the barber pole worm population decreased from 100% to 84%.  When animals were all slaughtered and stomach worm counts conducted, the untreated group had more worms (1,857) compared to both the ginger (549) and pumpkin seed (869) drenched groups.   </w:t>
      </w:r>
    </w:p>
    <w:p w:rsidR="003606EC" w:rsidRDefault="003606EC" w:rsidP="0062714E"/>
    <w:p w:rsidR="009F525A" w:rsidRDefault="009F525A" w:rsidP="0062714E"/>
    <w:p w:rsidR="009F525A" w:rsidRDefault="009F525A" w:rsidP="0062714E">
      <w:r>
        <w:t>Figure 1. Average body weights of meat goat kids drenched with water, ginger, or pumpkin seeds over a 42 day period.</w:t>
      </w:r>
    </w:p>
    <w:p w:rsidR="003606EC" w:rsidRDefault="003606EC" w:rsidP="0062714E">
      <w:pPr>
        <w:rPr>
          <w:bCs/>
        </w:rPr>
      </w:pPr>
      <w:r w:rsidRPr="003606EC">
        <w:rPr>
          <w:bCs/>
          <w:noProof/>
        </w:rPr>
        <w:drawing>
          <wp:inline distT="0" distB="0" distL="0" distR="0">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606EC" w:rsidRDefault="003606EC" w:rsidP="0062714E">
      <w:pPr>
        <w:rPr>
          <w:bCs/>
        </w:rPr>
      </w:pPr>
    </w:p>
    <w:p w:rsidR="009C7700" w:rsidRDefault="009C7700" w:rsidP="009C7700">
      <w:r>
        <w:t xml:space="preserve">Figure </w:t>
      </w:r>
      <w:r w:rsidR="00AB2336">
        <w:t>2</w:t>
      </w:r>
      <w:r>
        <w:t xml:space="preserve">. Average </w:t>
      </w:r>
      <w:r w:rsidR="00AB2336">
        <w:t xml:space="preserve">fecal egg counts </w:t>
      </w:r>
      <w:r>
        <w:t>of meat goat kids drenched with water, ginger, or pumpkin seeds over a 42 day period.</w:t>
      </w:r>
    </w:p>
    <w:p w:rsidR="003606EC" w:rsidRDefault="003606EC" w:rsidP="0062714E">
      <w:pPr>
        <w:rPr>
          <w:bCs/>
        </w:rPr>
      </w:pPr>
    </w:p>
    <w:p w:rsidR="00B87E80" w:rsidRDefault="00252CF9" w:rsidP="0062714E">
      <w:pPr>
        <w:rPr>
          <w:bCs/>
        </w:rPr>
      </w:pPr>
      <w:r>
        <w:rPr>
          <w:bCs/>
          <w:noProof/>
        </w:rPr>
        <w:pict>
          <v:shapetype id="_x0000_t202" coordsize="21600,21600" o:spt="202" path="m0,0l0,21600,21600,21600,21600,0xe">
            <v:stroke joinstyle="miter"/>
            <v:path gradientshapeok="t" o:connecttype="rect"/>
          </v:shapetype>
          <v:shape id="_x0000_s1089" type="#_x0000_t202" style="position:absolute;margin-left:193.5pt;margin-top:124.8pt;width:30.75pt;height:23.25pt;z-index:251659264" filled="f" stroked="f">
            <v:textbox>
              <w:txbxContent>
                <w:p w:rsidR="009C7700" w:rsidRPr="009C7700" w:rsidRDefault="009C7700">
                  <w:pPr>
                    <w:rPr>
                      <w:sz w:val="18"/>
                      <w:szCs w:val="18"/>
                    </w:rPr>
                  </w:pPr>
                  <w:r>
                    <w:rPr>
                      <w:sz w:val="18"/>
                      <w:szCs w:val="18"/>
                    </w:rPr>
                    <w:t xml:space="preserve"> </w:t>
                  </w:r>
                  <w:r w:rsidRPr="009C7700">
                    <w:rPr>
                      <w:sz w:val="18"/>
                      <w:szCs w:val="18"/>
                    </w:rPr>
                    <w:t>*1</w:t>
                  </w:r>
                </w:p>
              </w:txbxContent>
            </v:textbox>
          </v:shape>
        </w:pict>
      </w:r>
      <w:r>
        <w:rPr>
          <w:bCs/>
          <w:noProof/>
        </w:rPr>
        <w:pict>
          <v:shape id="_x0000_s1088" type="#_x0000_t202" style="position:absolute;margin-left:128.25pt;margin-top:89.55pt;width:27.75pt;height:15pt;z-index:251658240" filled="f" stroked="f">
            <v:textbox>
              <w:txbxContent>
                <w:p w:rsidR="009C7700" w:rsidRPr="009C7700" w:rsidRDefault="009C7700">
                  <w:pPr>
                    <w:rPr>
                      <w:sz w:val="18"/>
                      <w:szCs w:val="18"/>
                    </w:rPr>
                  </w:pPr>
                  <w:r>
                    <w:rPr>
                      <w:sz w:val="18"/>
                      <w:szCs w:val="18"/>
                    </w:rPr>
                    <w:t xml:space="preserve"> </w:t>
                  </w:r>
                  <w:r w:rsidRPr="009C7700">
                    <w:rPr>
                      <w:sz w:val="18"/>
                      <w:szCs w:val="18"/>
                    </w:rPr>
                    <w:t>*3</w:t>
                  </w:r>
                </w:p>
              </w:txbxContent>
            </v:textbox>
          </v:shape>
        </w:pict>
      </w:r>
      <w:r w:rsidR="00C40388" w:rsidRPr="00C40388">
        <w:rPr>
          <w:bCs/>
          <w:noProof/>
        </w:rPr>
        <w:drawing>
          <wp:inline distT="0" distB="0" distL="0" distR="0">
            <wp:extent cx="4572000" cy="29337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B2336" w:rsidRPr="005F12EB" w:rsidRDefault="00AB2336" w:rsidP="00AB2336">
      <w:pPr>
        <w:autoSpaceDE w:val="0"/>
        <w:autoSpaceDN w:val="0"/>
        <w:adjustRightInd w:val="0"/>
        <w:rPr>
          <w:color w:val="000000"/>
          <w:sz w:val="20"/>
          <w:szCs w:val="20"/>
        </w:rPr>
      </w:pPr>
      <w:r w:rsidRPr="005F12EB">
        <w:rPr>
          <w:color w:val="000000"/>
          <w:sz w:val="20"/>
          <w:szCs w:val="20"/>
        </w:rPr>
        <w:t xml:space="preserve">*Numbers above bars indicates number of animals dewormed at that sampling in the untreated (CON; 3 treated on day 14) and the ginger drenched groups (GIN; 4 dewormed on day 14 and 1 dewormed on day 28).  </w:t>
      </w:r>
    </w:p>
    <w:p w:rsidR="00AB2336" w:rsidRDefault="00AB2336" w:rsidP="00AB2336">
      <w:r>
        <w:t>Figure 3. Average packed cell volume (PCV) of meat goat kids drenched with water, ginger, or pumpkin seeds over a 42 day period.</w:t>
      </w:r>
    </w:p>
    <w:p w:rsidR="00AB2336" w:rsidRPr="00AB2336" w:rsidRDefault="00AB2336" w:rsidP="00AB2336">
      <w:pPr>
        <w:autoSpaceDE w:val="0"/>
        <w:autoSpaceDN w:val="0"/>
        <w:adjustRightInd w:val="0"/>
        <w:rPr>
          <w:color w:val="231F20"/>
        </w:rPr>
      </w:pPr>
    </w:p>
    <w:p w:rsidR="003606EC" w:rsidRPr="003606EC" w:rsidRDefault="003606EC" w:rsidP="003606EC">
      <w:pPr>
        <w:autoSpaceDE w:val="0"/>
        <w:autoSpaceDN w:val="0"/>
        <w:adjustRightInd w:val="0"/>
        <w:rPr>
          <w:color w:val="231F20"/>
        </w:rPr>
      </w:pPr>
      <w:r w:rsidRPr="003606EC">
        <w:rPr>
          <w:noProof/>
          <w:color w:val="231F20"/>
        </w:rPr>
        <w:drawing>
          <wp:inline distT="0" distB="0" distL="0" distR="0">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606EC" w:rsidRDefault="003606EC"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u w:val="single"/>
        </w:rPr>
      </w:pPr>
    </w:p>
    <w:p w:rsidR="005F12EB" w:rsidRDefault="005F12EB" w:rsidP="00695710">
      <w:pPr>
        <w:autoSpaceDE w:val="0"/>
        <w:autoSpaceDN w:val="0"/>
        <w:adjustRightInd w:val="0"/>
        <w:rPr>
          <w:color w:val="231F20"/>
        </w:rPr>
      </w:pPr>
    </w:p>
    <w:p w:rsidR="005F12EB" w:rsidRDefault="005F12EB" w:rsidP="00695710">
      <w:pPr>
        <w:autoSpaceDE w:val="0"/>
        <w:autoSpaceDN w:val="0"/>
        <w:adjustRightInd w:val="0"/>
        <w:rPr>
          <w:color w:val="231F20"/>
        </w:rPr>
      </w:pPr>
    </w:p>
    <w:p w:rsidR="005F12EB" w:rsidRDefault="005F12EB" w:rsidP="00695710">
      <w:pPr>
        <w:autoSpaceDE w:val="0"/>
        <w:autoSpaceDN w:val="0"/>
        <w:adjustRightInd w:val="0"/>
        <w:rPr>
          <w:color w:val="231F20"/>
        </w:rPr>
      </w:pPr>
    </w:p>
    <w:p w:rsidR="005F12EB" w:rsidRDefault="005F12EB" w:rsidP="00695710">
      <w:pPr>
        <w:autoSpaceDE w:val="0"/>
        <w:autoSpaceDN w:val="0"/>
        <w:adjustRightInd w:val="0"/>
        <w:rPr>
          <w:color w:val="231F20"/>
        </w:rPr>
      </w:pPr>
    </w:p>
    <w:p w:rsidR="005F12EB" w:rsidRDefault="005F12EB" w:rsidP="00695710">
      <w:pPr>
        <w:autoSpaceDE w:val="0"/>
        <w:autoSpaceDN w:val="0"/>
        <w:adjustRightInd w:val="0"/>
        <w:rPr>
          <w:color w:val="231F20"/>
        </w:rPr>
      </w:pPr>
    </w:p>
    <w:p w:rsidR="005F12EB" w:rsidRDefault="005F12EB" w:rsidP="00695710">
      <w:pPr>
        <w:autoSpaceDE w:val="0"/>
        <w:autoSpaceDN w:val="0"/>
        <w:adjustRightInd w:val="0"/>
        <w:rPr>
          <w:color w:val="231F20"/>
        </w:rPr>
      </w:pPr>
    </w:p>
    <w:p w:rsidR="005F12EB" w:rsidRDefault="005F12EB" w:rsidP="00695710">
      <w:pPr>
        <w:autoSpaceDE w:val="0"/>
        <w:autoSpaceDN w:val="0"/>
        <w:adjustRightInd w:val="0"/>
        <w:rPr>
          <w:color w:val="231F20"/>
        </w:rPr>
      </w:pPr>
    </w:p>
    <w:p w:rsidR="005F12EB" w:rsidRPr="00695710" w:rsidRDefault="005F12EB" w:rsidP="00695710">
      <w:pPr>
        <w:autoSpaceDE w:val="0"/>
        <w:autoSpaceDN w:val="0"/>
        <w:adjustRightInd w:val="0"/>
        <w:rPr>
          <w:color w:val="231F20"/>
        </w:rPr>
      </w:pPr>
    </w:p>
    <w:p w:rsidR="00933F92" w:rsidRDefault="00933F92" w:rsidP="00933F92">
      <w:pPr>
        <w:autoSpaceDE w:val="0"/>
        <w:autoSpaceDN w:val="0"/>
        <w:adjustRightInd w:val="0"/>
        <w:jc w:val="center"/>
        <w:rPr>
          <w:rFonts w:ascii="Cambria" w:hAnsi="Cambria"/>
          <w:color w:val="231F20"/>
          <w:sz w:val="16"/>
          <w:szCs w:val="16"/>
        </w:rPr>
      </w:pPr>
    </w:p>
    <w:p w:rsidR="00933F92" w:rsidRDefault="00933F92" w:rsidP="00933F92">
      <w:pPr>
        <w:autoSpaceDE w:val="0"/>
        <w:autoSpaceDN w:val="0"/>
        <w:adjustRightInd w:val="0"/>
        <w:jc w:val="center"/>
      </w:pPr>
      <w:r w:rsidRPr="009A3B78">
        <w:rPr>
          <w:rFonts w:ascii="Cambria" w:hAnsi="Cambria"/>
          <w:color w:val="231F20"/>
          <w:sz w:val="16"/>
          <w:szCs w:val="16"/>
        </w:rPr>
        <w:t>Cooperative Extension Education in Agriculture, 4-H and Home Economics, Delaware State University, University of Delaware and United States Department of Agriculture cooperating, Dr. Dyremple B. Marsh, Dean and Administrator. It is the policy of Delaware Cooperative Extension that no person shall be subjected to discrimination on the grounds of race, color, sex, disability, age, or national origin.</w:t>
      </w:r>
    </w:p>
    <w:sectPr w:rsidR="00933F92" w:rsidSect="004F15F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7141628"/>
    <w:multiLevelType w:val="hybridMultilevel"/>
    <w:tmpl w:val="9BE8ADF2"/>
    <w:lvl w:ilvl="0" w:tplc="9364F1E0">
      <w:start w:val="1"/>
      <w:numFmt w:val="bullet"/>
      <w:lvlText w:val=""/>
      <w:lvlJc w:val="left"/>
      <w:pPr>
        <w:tabs>
          <w:tab w:val="num" w:pos="720"/>
        </w:tabs>
        <w:ind w:left="720" w:hanging="360"/>
      </w:pPr>
      <w:rPr>
        <w:rFonts w:ascii="Wingdings" w:hAnsi="Wingdings" w:hint="default"/>
      </w:rPr>
    </w:lvl>
    <w:lvl w:ilvl="1" w:tplc="A4C6EDF8">
      <w:start w:val="1"/>
      <w:numFmt w:val="bullet"/>
      <w:lvlText w:val=""/>
      <w:lvlJc w:val="left"/>
      <w:pPr>
        <w:tabs>
          <w:tab w:val="num" w:pos="1440"/>
        </w:tabs>
        <w:ind w:left="1440" w:hanging="360"/>
      </w:pPr>
      <w:rPr>
        <w:rFonts w:ascii="Wingdings" w:hAnsi="Wingdings" w:hint="default"/>
      </w:rPr>
    </w:lvl>
    <w:lvl w:ilvl="2" w:tplc="ED068412" w:tentative="1">
      <w:start w:val="1"/>
      <w:numFmt w:val="bullet"/>
      <w:lvlText w:val=""/>
      <w:lvlJc w:val="left"/>
      <w:pPr>
        <w:tabs>
          <w:tab w:val="num" w:pos="2160"/>
        </w:tabs>
        <w:ind w:left="2160" w:hanging="360"/>
      </w:pPr>
      <w:rPr>
        <w:rFonts w:ascii="Wingdings" w:hAnsi="Wingdings" w:hint="default"/>
      </w:rPr>
    </w:lvl>
    <w:lvl w:ilvl="3" w:tplc="44EEC2EA" w:tentative="1">
      <w:start w:val="1"/>
      <w:numFmt w:val="bullet"/>
      <w:lvlText w:val=""/>
      <w:lvlJc w:val="left"/>
      <w:pPr>
        <w:tabs>
          <w:tab w:val="num" w:pos="2880"/>
        </w:tabs>
        <w:ind w:left="2880" w:hanging="360"/>
      </w:pPr>
      <w:rPr>
        <w:rFonts w:ascii="Wingdings" w:hAnsi="Wingdings" w:hint="default"/>
      </w:rPr>
    </w:lvl>
    <w:lvl w:ilvl="4" w:tplc="480660DE" w:tentative="1">
      <w:start w:val="1"/>
      <w:numFmt w:val="bullet"/>
      <w:lvlText w:val=""/>
      <w:lvlJc w:val="left"/>
      <w:pPr>
        <w:tabs>
          <w:tab w:val="num" w:pos="3600"/>
        </w:tabs>
        <w:ind w:left="3600" w:hanging="360"/>
      </w:pPr>
      <w:rPr>
        <w:rFonts w:ascii="Wingdings" w:hAnsi="Wingdings" w:hint="default"/>
      </w:rPr>
    </w:lvl>
    <w:lvl w:ilvl="5" w:tplc="A7F87186" w:tentative="1">
      <w:start w:val="1"/>
      <w:numFmt w:val="bullet"/>
      <w:lvlText w:val=""/>
      <w:lvlJc w:val="left"/>
      <w:pPr>
        <w:tabs>
          <w:tab w:val="num" w:pos="4320"/>
        </w:tabs>
        <w:ind w:left="4320" w:hanging="360"/>
      </w:pPr>
      <w:rPr>
        <w:rFonts w:ascii="Wingdings" w:hAnsi="Wingdings" w:hint="default"/>
      </w:rPr>
    </w:lvl>
    <w:lvl w:ilvl="6" w:tplc="83C0EBFE" w:tentative="1">
      <w:start w:val="1"/>
      <w:numFmt w:val="bullet"/>
      <w:lvlText w:val=""/>
      <w:lvlJc w:val="left"/>
      <w:pPr>
        <w:tabs>
          <w:tab w:val="num" w:pos="5040"/>
        </w:tabs>
        <w:ind w:left="5040" w:hanging="360"/>
      </w:pPr>
      <w:rPr>
        <w:rFonts w:ascii="Wingdings" w:hAnsi="Wingdings" w:hint="default"/>
      </w:rPr>
    </w:lvl>
    <w:lvl w:ilvl="7" w:tplc="15107F90" w:tentative="1">
      <w:start w:val="1"/>
      <w:numFmt w:val="bullet"/>
      <w:lvlText w:val=""/>
      <w:lvlJc w:val="left"/>
      <w:pPr>
        <w:tabs>
          <w:tab w:val="num" w:pos="5760"/>
        </w:tabs>
        <w:ind w:left="5760" w:hanging="360"/>
      </w:pPr>
      <w:rPr>
        <w:rFonts w:ascii="Wingdings" w:hAnsi="Wingdings" w:hint="default"/>
      </w:rPr>
    </w:lvl>
    <w:lvl w:ilvl="8" w:tplc="299E054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62714E"/>
    <w:rsid w:val="0001182D"/>
    <w:rsid w:val="001218AC"/>
    <w:rsid w:val="001E22C2"/>
    <w:rsid w:val="00252CF9"/>
    <w:rsid w:val="00254FAD"/>
    <w:rsid w:val="00274193"/>
    <w:rsid w:val="002D4A15"/>
    <w:rsid w:val="003606EC"/>
    <w:rsid w:val="0039375B"/>
    <w:rsid w:val="004F15F8"/>
    <w:rsid w:val="005D7428"/>
    <w:rsid w:val="005F12EB"/>
    <w:rsid w:val="0062714E"/>
    <w:rsid w:val="00676871"/>
    <w:rsid w:val="00695710"/>
    <w:rsid w:val="006C6046"/>
    <w:rsid w:val="007C1BB6"/>
    <w:rsid w:val="008943B5"/>
    <w:rsid w:val="00933F92"/>
    <w:rsid w:val="009B24DB"/>
    <w:rsid w:val="009C7700"/>
    <w:rsid w:val="009F525A"/>
    <w:rsid w:val="00A329B6"/>
    <w:rsid w:val="00A50121"/>
    <w:rsid w:val="00A72A7B"/>
    <w:rsid w:val="00A93390"/>
    <w:rsid w:val="00AB1F7C"/>
    <w:rsid w:val="00AB2336"/>
    <w:rsid w:val="00AD58E7"/>
    <w:rsid w:val="00B87E80"/>
    <w:rsid w:val="00BC358A"/>
    <w:rsid w:val="00C40388"/>
    <w:rsid w:val="00C718A9"/>
    <w:rsid w:val="00D928A4"/>
    <w:rsid w:val="00D93C6B"/>
    <w:rsid w:val="00E01332"/>
    <w:rsid w:val="00EA4322"/>
    <w:rsid w:val="00EC02AB"/>
    <w:rsid w:val="00F71B6D"/>
    <w:rsid w:val="00F9736E"/>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62714E"/>
    <w:rPr>
      <w:rFonts w:ascii="Tahoma" w:hAnsi="Tahoma" w:cs="Tahoma"/>
      <w:sz w:val="16"/>
      <w:szCs w:val="16"/>
    </w:rPr>
  </w:style>
  <w:style w:type="character" w:customStyle="1" w:styleId="BalloonTextChar">
    <w:name w:val="Balloon Text Char"/>
    <w:basedOn w:val="DefaultParagraphFont"/>
    <w:link w:val="BalloonText"/>
    <w:uiPriority w:val="99"/>
    <w:semiHidden/>
    <w:rsid w:val="0062714E"/>
    <w:rPr>
      <w:rFonts w:ascii="Tahoma" w:eastAsia="Times New Roman" w:hAnsi="Tahoma" w:cs="Tahoma"/>
      <w:sz w:val="16"/>
      <w:szCs w:val="16"/>
    </w:rPr>
  </w:style>
  <w:style w:type="paragraph" w:styleId="ListParagraph">
    <w:name w:val="List Paragraph"/>
    <w:basedOn w:val="Normal"/>
    <w:uiPriority w:val="34"/>
    <w:qFormat/>
    <w:rsid w:val="00EC02AB"/>
    <w:pPr>
      <w:ind w:left="720"/>
      <w:contextualSpacing/>
    </w:pPr>
  </w:style>
  <w:style w:type="paragraph" w:customStyle="1" w:styleId="Default">
    <w:name w:val="Default"/>
    <w:rsid w:val="006C6046"/>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695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7341925">
      <w:bodyDiv w:val="1"/>
      <w:marLeft w:val="0"/>
      <w:marRight w:val="0"/>
      <w:marTop w:val="0"/>
      <w:marBottom w:val="0"/>
      <w:divBdr>
        <w:top w:val="none" w:sz="0" w:space="0" w:color="auto"/>
        <w:left w:val="none" w:sz="0" w:space="0" w:color="auto"/>
        <w:bottom w:val="none" w:sz="0" w:space="0" w:color="auto"/>
        <w:right w:val="none" w:sz="0" w:space="0" w:color="auto"/>
      </w:divBdr>
      <w:divsChild>
        <w:div w:id="1120535349">
          <w:marLeft w:val="1166"/>
          <w:marRight w:val="0"/>
          <w:marTop w:val="101"/>
          <w:marBottom w:val="0"/>
          <w:divBdr>
            <w:top w:val="none" w:sz="0" w:space="0" w:color="auto"/>
            <w:left w:val="none" w:sz="0" w:space="0" w:color="auto"/>
            <w:bottom w:val="none" w:sz="0" w:space="0" w:color="auto"/>
            <w:right w:val="none" w:sz="0" w:space="0" w:color="auto"/>
          </w:divBdr>
        </w:div>
        <w:div w:id="241985556">
          <w:marLeft w:val="1166"/>
          <w:marRight w:val="0"/>
          <w:marTop w:val="101"/>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 Id="rId2"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
  <c:chart>
    <c:plotArea>
      <c:layout/>
      <c:lineChart>
        <c:grouping val="standard"/>
        <c:ser>
          <c:idx val="0"/>
          <c:order val="0"/>
          <c:tx>
            <c:strRef>
              <c:f>Sheet2!$B$13</c:f>
              <c:strCache>
                <c:ptCount val="1"/>
                <c:pt idx="0">
                  <c:v>CON</c:v>
                </c:pt>
              </c:strCache>
            </c:strRef>
          </c:tx>
          <c:cat>
            <c:numRef>
              <c:f>Sheet2!$C$13:$C$19</c:f>
              <c:numCache>
                <c:formatCode>General</c:formatCode>
                <c:ptCount val="7"/>
                <c:pt idx="0">
                  <c:v>0.0</c:v>
                </c:pt>
                <c:pt idx="1">
                  <c:v>7.0</c:v>
                </c:pt>
                <c:pt idx="2">
                  <c:v>14.0</c:v>
                </c:pt>
                <c:pt idx="3">
                  <c:v>21.0</c:v>
                </c:pt>
                <c:pt idx="4">
                  <c:v>28.0</c:v>
                </c:pt>
                <c:pt idx="5">
                  <c:v>35.0</c:v>
                </c:pt>
                <c:pt idx="6">
                  <c:v>42.0</c:v>
                </c:pt>
              </c:numCache>
            </c:numRef>
          </c:cat>
          <c:val>
            <c:numRef>
              <c:f>Sheet2!$D$13:$D$19</c:f>
              <c:numCache>
                <c:formatCode>General</c:formatCode>
                <c:ptCount val="7"/>
                <c:pt idx="0">
                  <c:v>18.2468</c:v>
                </c:pt>
                <c:pt idx="1">
                  <c:v>17.8571</c:v>
                </c:pt>
                <c:pt idx="2">
                  <c:v>17.8571</c:v>
                </c:pt>
                <c:pt idx="3">
                  <c:v>19.0909</c:v>
                </c:pt>
                <c:pt idx="4">
                  <c:v>19.3506</c:v>
                </c:pt>
                <c:pt idx="5">
                  <c:v>19.8701</c:v>
                </c:pt>
                <c:pt idx="6">
                  <c:v>20.1299</c:v>
                </c:pt>
              </c:numCache>
            </c:numRef>
          </c:val>
        </c:ser>
        <c:ser>
          <c:idx val="1"/>
          <c:order val="1"/>
          <c:tx>
            <c:strRef>
              <c:f>Sheet2!$B$20</c:f>
              <c:strCache>
                <c:ptCount val="1"/>
                <c:pt idx="0">
                  <c:v>GIN</c:v>
                </c:pt>
              </c:strCache>
            </c:strRef>
          </c:tx>
          <c:cat>
            <c:numRef>
              <c:f>Sheet2!$C$13:$C$19</c:f>
              <c:numCache>
                <c:formatCode>General</c:formatCode>
                <c:ptCount val="7"/>
                <c:pt idx="0">
                  <c:v>0.0</c:v>
                </c:pt>
                <c:pt idx="1">
                  <c:v>7.0</c:v>
                </c:pt>
                <c:pt idx="2">
                  <c:v>14.0</c:v>
                </c:pt>
                <c:pt idx="3">
                  <c:v>21.0</c:v>
                </c:pt>
                <c:pt idx="4">
                  <c:v>28.0</c:v>
                </c:pt>
                <c:pt idx="5">
                  <c:v>35.0</c:v>
                </c:pt>
                <c:pt idx="6">
                  <c:v>42.0</c:v>
                </c:pt>
              </c:numCache>
            </c:numRef>
          </c:cat>
          <c:val>
            <c:numRef>
              <c:f>Sheet2!$D$20:$D$26</c:f>
              <c:numCache>
                <c:formatCode>General</c:formatCode>
                <c:ptCount val="7"/>
                <c:pt idx="0">
                  <c:v>17.0</c:v>
                </c:pt>
                <c:pt idx="1">
                  <c:v>17.54549999999998</c:v>
                </c:pt>
                <c:pt idx="2">
                  <c:v>17.54549999999998</c:v>
                </c:pt>
                <c:pt idx="3">
                  <c:v>17.8182</c:v>
                </c:pt>
                <c:pt idx="4">
                  <c:v>17.7273</c:v>
                </c:pt>
                <c:pt idx="5">
                  <c:v>18.18179999999998</c:v>
                </c:pt>
                <c:pt idx="6">
                  <c:v>19.63639999999999</c:v>
                </c:pt>
              </c:numCache>
            </c:numRef>
          </c:val>
        </c:ser>
        <c:ser>
          <c:idx val="2"/>
          <c:order val="2"/>
          <c:tx>
            <c:strRef>
              <c:f>Sheet2!$B$27</c:f>
              <c:strCache>
                <c:ptCount val="1"/>
                <c:pt idx="0">
                  <c:v>PUM</c:v>
                </c:pt>
              </c:strCache>
            </c:strRef>
          </c:tx>
          <c:cat>
            <c:numRef>
              <c:f>Sheet2!$C$13:$C$19</c:f>
              <c:numCache>
                <c:formatCode>General</c:formatCode>
                <c:ptCount val="7"/>
                <c:pt idx="0">
                  <c:v>0.0</c:v>
                </c:pt>
                <c:pt idx="1">
                  <c:v>7.0</c:v>
                </c:pt>
                <c:pt idx="2">
                  <c:v>14.0</c:v>
                </c:pt>
                <c:pt idx="3">
                  <c:v>21.0</c:v>
                </c:pt>
                <c:pt idx="4">
                  <c:v>28.0</c:v>
                </c:pt>
                <c:pt idx="5">
                  <c:v>35.0</c:v>
                </c:pt>
                <c:pt idx="6">
                  <c:v>42.0</c:v>
                </c:pt>
              </c:numCache>
            </c:numRef>
          </c:cat>
          <c:val>
            <c:numRef>
              <c:f>Sheet2!$D$27:$D$33</c:f>
              <c:numCache>
                <c:formatCode>General</c:formatCode>
                <c:ptCount val="7"/>
                <c:pt idx="0">
                  <c:v>17.7273</c:v>
                </c:pt>
                <c:pt idx="1">
                  <c:v>17.95449999999999</c:v>
                </c:pt>
                <c:pt idx="2">
                  <c:v>18.2273</c:v>
                </c:pt>
                <c:pt idx="3">
                  <c:v>19.0</c:v>
                </c:pt>
                <c:pt idx="4">
                  <c:v>19.3182</c:v>
                </c:pt>
                <c:pt idx="5">
                  <c:v>19.8182</c:v>
                </c:pt>
                <c:pt idx="6">
                  <c:v>20.68179999999998</c:v>
                </c:pt>
              </c:numCache>
            </c:numRef>
          </c:val>
        </c:ser>
        <c:marker val="1"/>
        <c:axId val="539397688"/>
        <c:axId val="539406408"/>
      </c:lineChart>
      <c:catAx>
        <c:axId val="539397688"/>
        <c:scaling>
          <c:orientation val="minMax"/>
        </c:scaling>
        <c:axPos val="b"/>
        <c:title>
          <c:tx>
            <c:rich>
              <a:bodyPr/>
              <a:lstStyle/>
              <a:p>
                <a:pPr>
                  <a:defRPr/>
                </a:pPr>
                <a:r>
                  <a:rPr lang="en-US"/>
                  <a:t>Days</a:t>
                </a:r>
              </a:p>
            </c:rich>
          </c:tx>
          <c:layout/>
        </c:title>
        <c:numFmt formatCode="General" sourceLinked="1"/>
        <c:tickLblPos val="nextTo"/>
        <c:crossAx val="539406408"/>
        <c:crosses val="autoZero"/>
        <c:auto val="1"/>
        <c:lblAlgn val="ctr"/>
        <c:lblOffset val="100"/>
      </c:catAx>
      <c:valAx>
        <c:axId val="539406408"/>
        <c:scaling>
          <c:orientation val="minMax"/>
        </c:scaling>
        <c:axPos val="l"/>
        <c:majorGridlines/>
        <c:title>
          <c:tx>
            <c:rich>
              <a:bodyPr rot="-5400000" vert="horz"/>
              <a:lstStyle/>
              <a:p>
                <a:pPr>
                  <a:defRPr/>
                </a:pPr>
                <a:r>
                  <a:rPr lang="en-US"/>
                  <a:t>Body Weights (kg)</a:t>
                </a:r>
              </a:p>
            </c:rich>
          </c:tx>
          <c:layout/>
        </c:title>
        <c:numFmt formatCode="General" sourceLinked="1"/>
        <c:tickLblPos val="nextTo"/>
        <c:crossAx val="539397688"/>
        <c:crosses val="autoZero"/>
        <c:crossBetween val="between"/>
      </c:valAx>
    </c:plotArea>
    <c:legend>
      <c:legendPos val="r"/>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
  <c:chart>
    <c:plotArea>
      <c:layout>
        <c:manualLayout>
          <c:layoutTarget val="inner"/>
          <c:xMode val="edge"/>
          <c:yMode val="edge"/>
          <c:x val="0.159057961504812"/>
          <c:y val="0.0567208644373999"/>
          <c:w val="0.654469816272966"/>
          <c:h val="0.751691720353139"/>
        </c:manualLayout>
      </c:layout>
      <c:lineChart>
        <c:grouping val="standard"/>
        <c:ser>
          <c:idx val="0"/>
          <c:order val="0"/>
          <c:tx>
            <c:strRef>
              <c:f>FEC!$B$13</c:f>
              <c:strCache>
                <c:ptCount val="1"/>
                <c:pt idx="0">
                  <c:v>CON</c:v>
                </c:pt>
              </c:strCache>
            </c:strRef>
          </c:tx>
          <c:cat>
            <c:numRef>
              <c:f>FEC!$C$13:$C$19</c:f>
              <c:numCache>
                <c:formatCode>General</c:formatCode>
                <c:ptCount val="7"/>
                <c:pt idx="0">
                  <c:v>0.0</c:v>
                </c:pt>
                <c:pt idx="1">
                  <c:v>7.0</c:v>
                </c:pt>
                <c:pt idx="2">
                  <c:v>14.0</c:v>
                </c:pt>
                <c:pt idx="3">
                  <c:v>21.0</c:v>
                </c:pt>
                <c:pt idx="4">
                  <c:v>28.0</c:v>
                </c:pt>
                <c:pt idx="5">
                  <c:v>35.0</c:v>
                </c:pt>
                <c:pt idx="6">
                  <c:v>42.0</c:v>
                </c:pt>
              </c:numCache>
            </c:numRef>
          </c:cat>
          <c:val>
            <c:numRef>
              <c:f>FEC!$D$13:$D$19</c:f>
              <c:numCache>
                <c:formatCode>General</c:formatCode>
                <c:ptCount val="7"/>
                <c:pt idx="0">
                  <c:v>7514.29</c:v>
                </c:pt>
                <c:pt idx="1">
                  <c:v>5807.14</c:v>
                </c:pt>
                <c:pt idx="2">
                  <c:v>4121.43</c:v>
                </c:pt>
                <c:pt idx="3">
                  <c:v>5200.0</c:v>
                </c:pt>
                <c:pt idx="4">
                  <c:v>7157.14</c:v>
                </c:pt>
                <c:pt idx="5">
                  <c:v>778.57</c:v>
                </c:pt>
                <c:pt idx="6">
                  <c:v>2206.14</c:v>
                </c:pt>
              </c:numCache>
            </c:numRef>
          </c:val>
        </c:ser>
        <c:ser>
          <c:idx val="1"/>
          <c:order val="1"/>
          <c:tx>
            <c:strRef>
              <c:f>FEC!$B$20</c:f>
              <c:strCache>
                <c:ptCount val="1"/>
                <c:pt idx="0">
                  <c:v>GIN</c:v>
                </c:pt>
              </c:strCache>
            </c:strRef>
          </c:tx>
          <c:cat>
            <c:numRef>
              <c:f>FEC!$C$13:$C$19</c:f>
              <c:numCache>
                <c:formatCode>General</c:formatCode>
                <c:ptCount val="7"/>
                <c:pt idx="0">
                  <c:v>0.0</c:v>
                </c:pt>
                <c:pt idx="1">
                  <c:v>7.0</c:v>
                </c:pt>
                <c:pt idx="2">
                  <c:v>14.0</c:v>
                </c:pt>
                <c:pt idx="3">
                  <c:v>21.0</c:v>
                </c:pt>
                <c:pt idx="4">
                  <c:v>28.0</c:v>
                </c:pt>
                <c:pt idx="5">
                  <c:v>35.0</c:v>
                </c:pt>
                <c:pt idx="6">
                  <c:v>42.0</c:v>
                </c:pt>
              </c:numCache>
            </c:numRef>
          </c:cat>
          <c:val>
            <c:numRef>
              <c:f>FEC!$D$20:$D$26</c:f>
              <c:numCache>
                <c:formatCode>General</c:formatCode>
                <c:ptCount val="7"/>
                <c:pt idx="0">
                  <c:v>3370.0</c:v>
                </c:pt>
                <c:pt idx="1">
                  <c:v>2290.0</c:v>
                </c:pt>
                <c:pt idx="2">
                  <c:v>2960.0</c:v>
                </c:pt>
                <c:pt idx="3">
                  <c:v>1830.0</c:v>
                </c:pt>
                <c:pt idx="4">
                  <c:v>2280.0</c:v>
                </c:pt>
                <c:pt idx="5">
                  <c:v>870.0</c:v>
                </c:pt>
                <c:pt idx="6">
                  <c:v>1069.8</c:v>
                </c:pt>
              </c:numCache>
            </c:numRef>
          </c:val>
        </c:ser>
        <c:ser>
          <c:idx val="2"/>
          <c:order val="2"/>
          <c:tx>
            <c:strRef>
              <c:f>FEC!$B$27</c:f>
              <c:strCache>
                <c:ptCount val="1"/>
                <c:pt idx="0">
                  <c:v>PUM</c:v>
                </c:pt>
              </c:strCache>
            </c:strRef>
          </c:tx>
          <c:cat>
            <c:numRef>
              <c:f>FEC!$C$13:$C$19</c:f>
              <c:numCache>
                <c:formatCode>General</c:formatCode>
                <c:ptCount val="7"/>
                <c:pt idx="0">
                  <c:v>0.0</c:v>
                </c:pt>
                <c:pt idx="1">
                  <c:v>7.0</c:v>
                </c:pt>
                <c:pt idx="2">
                  <c:v>14.0</c:v>
                </c:pt>
                <c:pt idx="3">
                  <c:v>21.0</c:v>
                </c:pt>
                <c:pt idx="4">
                  <c:v>28.0</c:v>
                </c:pt>
                <c:pt idx="5">
                  <c:v>35.0</c:v>
                </c:pt>
                <c:pt idx="6">
                  <c:v>42.0</c:v>
                </c:pt>
              </c:numCache>
            </c:numRef>
          </c:cat>
          <c:val>
            <c:numRef>
              <c:f>FEC!$D$27:$D$33</c:f>
              <c:numCache>
                <c:formatCode>General</c:formatCode>
                <c:ptCount val="7"/>
                <c:pt idx="0">
                  <c:v>7696.4</c:v>
                </c:pt>
                <c:pt idx="1">
                  <c:v>3150.0</c:v>
                </c:pt>
                <c:pt idx="2">
                  <c:v>2770.0</c:v>
                </c:pt>
                <c:pt idx="3">
                  <c:v>5670.0</c:v>
                </c:pt>
                <c:pt idx="4">
                  <c:v>3595.0</c:v>
                </c:pt>
                <c:pt idx="5">
                  <c:v>335.0</c:v>
                </c:pt>
                <c:pt idx="6">
                  <c:v>650.0</c:v>
                </c:pt>
              </c:numCache>
            </c:numRef>
          </c:val>
        </c:ser>
        <c:marker val="1"/>
        <c:axId val="644691544"/>
        <c:axId val="644640360"/>
      </c:lineChart>
      <c:catAx>
        <c:axId val="644691544"/>
        <c:scaling>
          <c:orientation val="minMax"/>
        </c:scaling>
        <c:axPos val="b"/>
        <c:title>
          <c:tx>
            <c:rich>
              <a:bodyPr/>
              <a:lstStyle/>
              <a:p>
                <a:pPr>
                  <a:defRPr/>
                </a:pPr>
                <a:r>
                  <a:rPr lang="en-US"/>
                  <a:t>Days</a:t>
                </a:r>
              </a:p>
            </c:rich>
          </c:tx>
          <c:layout/>
        </c:title>
        <c:numFmt formatCode="General" sourceLinked="1"/>
        <c:tickLblPos val="nextTo"/>
        <c:crossAx val="644640360"/>
        <c:crosses val="autoZero"/>
        <c:auto val="1"/>
        <c:lblAlgn val="ctr"/>
        <c:lblOffset val="100"/>
      </c:catAx>
      <c:valAx>
        <c:axId val="644640360"/>
        <c:scaling>
          <c:orientation val="minMax"/>
        </c:scaling>
        <c:axPos val="l"/>
        <c:majorGridlines/>
        <c:title>
          <c:tx>
            <c:rich>
              <a:bodyPr rot="-5400000" vert="horz"/>
              <a:lstStyle/>
              <a:p>
                <a:pPr>
                  <a:defRPr/>
                </a:pPr>
                <a:r>
                  <a:rPr lang="en-US"/>
                  <a:t>Fecal Egg Counts (epg)</a:t>
                </a:r>
              </a:p>
            </c:rich>
          </c:tx>
          <c:layout/>
        </c:title>
        <c:numFmt formatCode="General" sourceLinked="1"/>
        <c:tickLblPos val="nextTo"/>
        <c:crossAx val="644691544"/>
        <c:crosses val="autoZero"/>
        <c:crossBetween val="between"/>
      </c:valAx>
    </c:plotArea>
    <c:legend>
      <c:legendPos val="r"/>
      <c:layout/>
    </c:legend>
    <c:plotVisOnly val="1"/>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
  <c:chart>
    <c:plotArea>
      <c:layout/>
      <c:lineChart>
        <c:grouping val="standard"/>
        <c:ser>
          <c:idx val="0"/>
          <c:order val="0"/>
          <c:tx>
            <c:strRef>
              <c:f>Sheet3!$B$13</c:f>
              <c:strCache>
                <c:ptCount val="1"/>
                <c:pt idx="0">
                  <c:v>CON</c:v>
                </c:pt>
              </c:strCache>
            </c:strRef>
          </c:tx>
          <c:cat>
            <c:numRef>
              <c:f>Sheet3!$C$20:$C$26</c:f>
              <c:numCache>
                <c:formatCode>General</c:formatCode>
                <c:ptCount val="7"/>
                <c:pt idx="0">
                  <c:v>0.0</c:v>
                </c:pt>
                <c:pt idx="1">
                  <c:v>7.0</c:v>
                </c:pt>
                <c:pt idx="2">
                  <c:v>14.0</c:v>
                </c:pt>
                <c:pt idx="3">
                  <c:v>21.0</c:v>
                </c:pt>
                <c:pt idx="4">
                  <c:v>28.0</c:v>
                </c:pt>
                <c:pt idx="5">
                  <c:v>35.0</c:v>
                </c:pt>
                <c:pt idx="6">
                  <c:v>42.0</c:v>
                </c:pt>
              </c:numCache>
            </c:numRef>
          </c:cat>
          <c:val>
            <c:numRef>
              <c:f>Sheet3!$D$13:$D$19</c:f>
              <c:numCache>
                <c:formatCode>General</c:formatCode>
                <c:ptCount val="7"/>
                <c:pt idx="0">
                  <c:v>25.90309999999998</c:v>
                </c:pt>
                <c:pt idx="1">
                  <c:v>26.85249999999998</c:v>
                </c:pt>
                <c:pt idx="2">
                  <c:v>25.97809999999998</c:v>
                </c:pt>
                <c:pt idx="3">
                  <c:v>23.19739999999999</c:v>
                </c:pt>
                <c:pt idx="4">
                  <c:v>26.57389999999999</c:v>
                </c:pt>
                <c:pt idx="5">
                  <c:v>24.1785</c:v>
                </c:pt>
                <c:pt idx="6">
                  <c:v>23.30549999999998</c:v>
                </c:pt>
              </c:numCache>
            </c:numRef>
          </c:val>
        </c:ser>
        <c:ser>
          <c:idx val="1"/>
          <c:order val="1"/>
          <c:tx>
            <c:strRef>
              <c:f>Sheet3!$B$20</c:f>
              <c:strCache>
                <c:ptCount val="1"/>
                <c:pt idx="0">
                  <c:v>GIN</c:v>
                </c:pt>
              </c:strCache>
            </c:strRef>
          </c:tx>
          <c:cat>
            <c:numRef>
              <c:f>Sheet3!$C$20:$C$26</c:f>
              <c:numCache>
                <c:formatCode>General</c:formatCode>
                <c:ptCount val="7"/>
                <c:pt idx="0">
                  <c:v>0.0</c:v>
                </c:pt>
                <c:pt idx="1">
                  <c:v>7.0</c:v>
                </c:pt>
                <c:pt idx="2">
                  <c:v>14.0</c:v>
                </c:pt>
                <c:pt idx="3">
                  <c:v>21.0</c:v>
                </c:pt>
                <c:pt idx="4">
                  <c:v>28.0</c:v>
                </c:pt>
                <c:pt idx="5">
                  <c:v>35.0</c:v>
                </c:pt>
                <c:pt idx="6">
                  <c:v>42.0</c:v>
                </c:pt>
              </c:numCache>
            </c:numRef>
          </c:cat>
          <c:val>
            <c:numRef>
              <c:f>Sheet3!$D$20:$D$26</c:f>
              <c:numCache>
                <c:formatCode>General</c:formatCode>
                <c:ptCount val="7"/>
                <c:pt idx="0">
                  <c:v>35.0411</c:v>
                </c:pt>
                <c:pt idx="1">
                  <c:v>33.8978</c:v>
                </c:pt>
                <c:pt idx="2">
                  <c:v>30.15330000000001</c:v>
                </c:pt>
                <c:pt idx="3">
                  <c:v>27.6241</c:v>
                </c:pt>
                <c:pt idx="4">
                  <c:v>32.03270000000001</c:v>
                </c:pt>
                <c:pt idx="5">
                  <c:v>32.067</c:v>
                </c:pt>
                <c:pt idx="6">
                  <c:v>28.46679999999997</c:v>
                </c:pt>
              </c:numCache>
            </c:numRef>
          </c:val>
        </c:ser>
        <c:ser>
          <c:idx val="2"/>
          <c:order val="2"/>
          <c:tx>
            <c:strRef>
              <c:f>Sheet3!$B$27</c:f>
              <c:strCache>
                <c:ptCount val="1"/>
                <c:pt idx="0">
                  <c:v>PUM</c:v>
                </c:pt>
              </c:strCache>
            </c:strRef>
          </c:tx>
          <c:cat>
            <c:numRef>
              <c:f>Sheet3!$C$20:$C$26</c:f>
              <c:numCache>
                <c:formatCode>General</c:formatCode>
                <c:ptCount val="7"/>
                <c:pt idx="0">
                  <c:v>0.0</c:v>
                </c:pt>
                <c:pt idx="1">
                  <c:v>7.0</c:v>
                </c:pt>
                <c:pt idx="2">
                  <c:v>14.0</c:v>
                </c:pt>
                <c:pt idx="3">
                  <c:v>21.0</c:v>
                </c:pt>
                <c:pt idx="4">
                  <c:v>28.0</c:v>
                </c:pt>
                <c:pt idx="5">
                  <c:v>35.0</c:v>
                </c:pt>
                <c:pt idx="6">
                  <c:v>42.0</c:v>
                </c:pt>
              </c:numCache>
            </c:numRef>
          </c:cat>
          <c:val>
            <c:numRef>
              <c:f>Sheet3!$D$27:$D$33</c:f>
              <c:numCache>
                <c:formatCode>General</c:formatCode>
                <c:ptCount val="7"/>
                <c:pt idx="0">
                  <c:v>29.0961</c:v>
                </c:pt>
                <c:pt idx="1">
                  <c:v>28.04469999999998</c:v>
                </c:pt>
                <c:pt idx="2">
                  <c:v>27.991</c:v>
                </c:pt>
                <c:pt idx="3">
                  <c:v>27.59929999999999</c:v>
                </c:pt>
                <c:pt idx="4">
                  <c:v>24.59859999999998</c:v>
                </c:pt>
                <c:pt idx="5">
                  <c:v>28.46059999999997</c:v>
                </c:pt>
                <c:pt idx="6">
                  <c:v>25.8321</c:v>
                </c:pt>
              </c:numCache>
            </c:numRef>
          </c:val>
        </c:ser>
        <c:marker val="1"/>
        <c:axId val="644525000"/>
        <c:axId val="644426280"/>
      </c:lineChart>
      <c:catAx>
        <c:axId val="644525000"/>
        <c:scaling>
          <c:orientation val="minMax"/>
        </c:scaling>
        <c:axPos val="b"/>
        <c:title>
          <c:tx>
            <c:rich>
              <a:bodyPr/>
              <a:lstStyle/>
              <a:p>
                <a:pPr>
                  <a:defRPr/>
                </a:pPr>
                <a:r>
                  <a:rPr lang="en-US"/>
                  <a:t>Days</a:t>
                </a:r>
              </a:p>
            </c:rich>
          </c:tx>
          <c:layout/>
        </c:title>
        <c:numFmt formatCode="General" sourceLinked="1"/>
        <c:tickLblPos val="nextTo"/>
        <c:crossAx val="644426280"/>
        <c:crosses val="autoZero"/>
        <c:auto val="1"/>
        <c:lblAlgn val="ctr"/>
        <c:lblOffset val="100"/>
      </c:catAx>
      <c:valAx>
        <c:axId val="644426280"/>
        <c:scaling>
          <c:orientation val="minMax"/>
        </c:scaling>
        <c:axPos val="l"/>
        <c:majorGridlines/>
        <c:title>
          <c:tx>
            <c:rich>
              <a:bodyPr rot="-5400000" vert="horz"/>
              <a:lstStyle/>
              <a:p>
                <a:pPr>
                  <a:defRPr/>
                </a:pPr>
                <a:r>
                  <a:rPr lang="en-US"/>
                  <a:t>Packed Cell Volume (%)</a:t>
                </a:r>
              </a:p>
            </c:rich>
          </c:tx>
          <c:layout/>
        </c:title>
        <c:numFmt formatCode="General" sourceLinked="1"/>
        <c:tickLblPos val="nextTo"/>
        <c:crossAx val="644525000"/>
        <c:crosses val="autoZero"/>
        <c:crossBetween val="between"/>
      </c:valAx>
    </c:plotArea>
    <c:legend>
      <c:legendPos val="r"/>
      <c:layout/>
    </c:legend>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0.35208</cdr:x>
      <cdr:y>0.47727</cdr:y>
    </cdr:from>
    <cdr:to>
      <cdr:x>0.42083</cdr:x>
      <cdr:y>0.56818</cdr:y>
    </cdr:to>
    <cdr:sp macro="" textlink="">
      <cdr:nvSpPr>
        <cdr:cNvPr id="6" name="TextBox 5"/>
        <cdr:cNvSpPr txBox="1"/>
      </cdr:nvSpPr>
      <cdr:spPr>
        <a:xfrm xmlns:a="http://schemas.openxmlformats.org/drawingml/2006/main">
          <a:off x="1609725" y="1400175"/>
          <a:ext cx="31432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 *4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3530</Characters>
  <Application>Microsoft Word 12.0.0</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Delaware State University</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Dahlia Jackson</dc:creator>
  <cp:lastModifiedBy>Dahlia O Brien</cp:lastModifiedBy>
  <cp:revision>3</cp:revision>
  <cp:lastPrinted>2012-12-13T19:03:00Z</cp:lastPrinted>
  <dcterms:created xsi:type="dcterms:W3CDTF">2012-12-31T00:00:00Z</dcterms:created>
  <dcterms:modified xsi:type="dcterms:W3CDTF">2012-12-31T00:01:00Z</dcterms:modified>
</cp:coreProperties>
</file>