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charts/chart1.xml" ContentType="application/vnd.openxmlformats-officedocument.drawingml.chart+xml"/>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3F92" w:rsidRDefault="00933F92" w:rsidP="0062714E">
      <w:pPr>
        <w:jc w:val="center"/>
        <w:rPr>
          <w:b/>
          <w:sz w:val="28"/>
          <w:szCs w:val="28"/>
        </w:rPr>
      </w:pPr>
      <w:r>
        <w:rPr>
          <w:noProof/>
        </w:rPr>
        <w:drawing>
          <wp:inline distT="0" distB="0" distL="0" distR="0">
            <wp:extent cx="4972050" cy="1133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4972050" cy="1133475"/>
                    </a:xfrm>
                    <a:prstGeom prst="rect">
                      <a:avLst/>
                    </a:prstGeom>
                    <a:noFill/>
                    <a:ln w="9525">
                      <a:noFill/>
                      <a:miter lim="800000"/>
                      <a:headEnd/>
                      <a:tailEnd/>
                    </a:ln>
                  </pic:spPr>
                </pic:pic>
              </a:graphicData>
            </a:graphic>
          </wp:inline>
        </w:drawing>
      </w:r>
    </w:p>
    <w:p w:rsidR="0062714E" w:rsidRPr="0062714E" w:rsidRDefault="0062714E" w:rsidP="0062714E">
      <w:pPr>
        <w:jc w:val="center"/>
        <w:rPr>
          <w:b/>
          <w:sz w:val="28"/>
          <w:szCs w:val="28"/>
        </w:rPr>
      </w:pPr>
      <w:r w:rsidRPr="0062714E">
        <w:rPr>
          <w:b/>
          <w:sz w:val="28"/>
          <w:szCs w:val="28"/>
        </w:rPr>
        <w:t xml:space="preserve">Experiment </w:t>
      </w:r>
      <w:r w:rsidR="00B97587">
        <w:rPr>
          <w:b/>
          <w:sz w:val="28"/>
          <w:szCs w:val="28"/>
        </w:rPr>
        <w:t>Eight</w:t>
      </w:r>
      <w:r w:rsidR="00953B52">
        <w:rPr>
          <w:b/>
          <w:sz w:val="28"/>
          <w:szCs w:val="28"/>
        </w:rPr>
        <w:t xml:space="preserve"> </w:t>
      </w:r>
      <w:r w:rsidR="00D928A4">
        <w:rPr>
          <w:b/>
          <w:sz w:val="28"/>
          <w:szCs w:val="28"/>
        </w:rPr>
        <w:t>(20</w:t>
      </w:r>
      <w:r w:rsidR="00953B52">
        <w:rPr>
          <w:b/>
          <w:sz w:val="28"/>
          <w:szCs w:val="28"/>
        </w:rPr>
        <w:t>11</w:t>
      </w:r>
      <w:r w:rsidR="00D928A4">
        <w:rPr>
          <w:b/>
          <w:sz w:val="28"/>
          <w:szCs w:val="28"/>
        </w:rPr>
        <w:t>)</w:t>
      </w:r>
    </w:p>
    <w:p w:rsidR="00953B52" w:rsidRDefault="00953B52" w:rsidP="00953B52">
      <w:pPr>
        <w:jc w:val="center"/>
        <w:rPr>
          <w:b/>
          <w:sz w:val="28"/>
          <w:szCs w:val="28"/>
        </w:rPr>
      </w:pPr>
      <w:r>
        <w:rPr>
          <w:b/>
          <w:sz w:val="28"/>
          <w:szCs w:val="28"/>
        </w:rPr>
        <w:t xml:space="preserve">Efficacy of </w:t>
      </w:r>
      <w:r w:rsidR="0062714E" w:rsidRPr="0062714E">
        <w:rPr>
          <w:b/>
          <w:sz w:val="28"/>
          <w:szCs w:val="28"/>
        </w:rPr>
        <w:t>pumpkin seed</w:t>
      </w:r>
      <w:r w:rsidR="00AB1F7C">
        <w:rPr>
          <w:b/>
          <w:sz w:val="28"/>
          <w:szCs w:val="28"/>
        </w:rPr>
        <w:t xml:space="preserve"> </w:t>
      </w:r>
      <w:r>
        <w:rPr>
          <w:b/>
          <w:sz w:val="28"/>
          <w:szCs w:val="28"/>
        </w:rPr>
        <w:t xml:space="preserve">oil </w:t>
      </w:r>
      <w:r w:rsidR="0062714E" w:rsidRPr="0062714E">
        <w:rPr>
          <w:b/>
          <w:sz w:val="28"/>
          <w:szCs w:val="28"/>
        </w:rPr>
        <w:t>in</w:t>
      </w:r>
      <w:r w:rsidR="00AB1F7C">
        <w:rPr>
          <w:b/>
          <w:sz w:val="28"/>
          <w:szCs w:val="28"/>
        </w:rPr>
        <w:t xml:space="preserve"> </w:t>
      </w:r>
      <w:r w:rsidR="0062714E" w:rsidRPr="0062714E">
        <w:rPr>
          <w:b/>
          <w:sz w:val="28"/>
          <w:szCs w:val="28"/>
        </w:rPr>
        <w:t xml:space="preserve">reducing fecal egg counts in </w:t>
      </w:r>
      <w:r w:rsidR="00F22E5F">
        <w:rPr>
          <w:b/>
          <w:sz w:val="28"/>
          <w:szCs w:val="28"/>
        </w:rPr>
        <w:t>meat goat kids</w:t>
      </w:r>
      <w:r>
        <w:rPr>
          <w:b/>
          <w:sz w:val="28"/>
          <w:szCs w:val="28"/>
        </w:rPr>
        <w:t xml:space="preserve"> </w:t>
      </w:r>
    </w:p>
    <w:p w:rsidR="00B33B4F" w:rsidRDefault="00B33B4F" w:rsidP="00953B52">
      <w:pPr>
        <w:rPr>
          <w:i/>
          <w:u w:val="single"/>
        </w:rPr>
      </w:pPr>
    </w:p>
    <w:p w:rsidR="0062714E" w:rsidRPr="0062714E" w:rsidRDefault="0062714E" w:rsidP="00953B52">
      <w:pPr>
        <w:rPr>
          <w:i/>
        </w:rPr>
      </w:pPr>
      <w:r w:rsidRPr="0062714E">
        <w:rPr>
          <w:i/>
          <w:u w:val="single"/>
        </w:rPr>
        <w:t>Procedure:</w:t>
      </w:r>
      <w:r w:rsidRPr="0062714E">
        <w:rPr>
          <w:i/>
        </w:rPr>
        <w:t xml:space="preserve"> </w:t>
      </w:r>
    </w:p>
    <w:p w:rsidR="0062714E" w:rsidRDefault="0062714E" w:rsidP="0001182D"/>
    <w:p w:rsidR="006C6046" w:rsidRPr="00DC40F1" w:rsidRDefault="00F22E5F" w:rsidP="0001182D">
      <w:pPr>
        <w:pStyle w:val="Default"/>
      </w:pPr>
      <w:r>
        <w:t xml:space="preserve">Four – five </w:t>
      </w:r>
      <w:r w:rsidR="0001182D">
        <w:t xml:space="preserve">month old </w:t>
      </w:r>
      <w:r>
        <w:t xml:space="preserve">Boer crossbred meat goat kids </w:t>
      </w:r>
      <w:r w:rsidR="006C6046" w:rsidRPr="00DC40F1">
        <w:t xml:space="preserve">were </w:t>
      </w:r>
      <w:r w:rsidR="0001182D">
        <w:t>placed in</w:t>
      </w:r>
      <w:r w:rsidR="001218AC">
        <w:t xml:space="preserve"> </w:t>
      </w:r>
      <w:r w:rsidR="001218AC" w:rsidRPr="00DC40F1">
        <w:t xml:space="preserve">individual pens </w:t>
      </w:r>
      <w:r w:rsidR="001218AC">
        <w:t xml:space="preserve">(4 ft x 4 ft) </w:t>
      </w:r>
      <w:r w:rsidR="001218AC" w:rsidRPr="00DC40F1">
        <w:t xml:space="preserve">on solid concrete floors </w:t>
      </w:r>
      <w:r w:rsidR="001218AC">
        <w:t xml:space="preserve">into </w:t>
      </w:r>
      <w:r w:rsidR="006C6046" w:rsidRPr="00DC40F1">
        <w:t>one of t</w:t>
      </w:r>
      <w:r>
        <w:t xml:space="preserve">wo </w:t>
      </w:r>
      <w:r w:rsidR="006C6046" w:rsidRPr="00DC40F1">
        <w:t>treatment</w:t>
      </w:r>
      <w:r w:rsidR="0001182D">
        <w:t xml:space="preserve"> groups.  </w:t>
      </w:r>
      <w:r w:rsidR="001218AC">
        <w:t xml:space="preserve">All </w:t>
      </w:r>
      <w:r>
        <w:t xml:space="preserve">goats </w:t>
      </w:r>
      <w:r w:rsidR="006C6046" w:rsidRPr="00DC40F1">
        <w:t xml:space="preserve">received a commercially </w:t>
      </w:r>
      <w:proofErr w:type="spellStart"/>
      <w:r w:rsidR="006C6046" w:rsidRPr="00DC40F1">
        <w:t>pelleted</w:t>
      </w:r>
      <w:proofErr w:type="spellEnd"/>
      <w:r w:rsidR="006C6046" w:rsidRPr="00DC40F1">
        <w:t xml:space="preserve"> 1</w:t>
      </w:r>
      <w:r>
        <w:t>5</w:t>
      </w:r>
      <w:r w:rsidR="006C6046" w:rsidRPr="00DC40F1">
        <w:t xml:space="preserve">% </w:t>
      </w:r>
      <w:r w:rsidR="00D93C6B">
        <w:t xml:space="preserve">crude protein </w:t>
      </w:r>
      <w:r>
        <w:t xml:space="preserve">meat goat </w:t>
      </w:r>
      <w:r w:rsidR="006C6046" w:rsidRPr="00DC40F1">
        <w:t xml:space="preserve">feed </w:t>
      </w:r>
      <w:r w:rsidR="00D93C6B">
        <w:t xml:space="preserve">from </w:t>
      </w:r>
      <w:r w:rsidR="006C6046" w:rsidRPr="00DC40F1">
        <w:t>Southern States</w:t>
      </w:r>
      <w:r w:rsidR="00D93C6B">
        <w:t xml:space="preserve">.  </w:t>
      </w:r>
      <w:r w:rsidR="006C6046" w:rsidRPr="00DC40F1">
        <w:t xml:space="preserve">In </w:t>
      </w:r>
      <w:r w:rsidR="006C6046">
        <w:t xml:space="preserve">this experiment, </w:t>
      </w:r>
      <w:r>
        <w:t xml:space="preserve">13 kids </w:t>
      </w:r>
      <w:r w:rsidR="00F9736E">
        <w:t xml:space="preserve">were </w:t>
      </w:r>
      <w:r w:rsidR="00D93C6B">
        <w:t xml:space="preserve">drenched </w:t>
      </w:r>
      <w:r w:rsidR="00F9736E">
        <w:t xml:space="preserve">with </w:t>
      </w:r>
      <w:r w:rsidR="006C6046" w:rsidRPr="00DC40F1">
        <w:t>water (</w:t>
      </w:r>
      <w:r w:rsidR="008943B5">
        <w:t>untreated</w:t>
      </w:r>
      <w:r>
        <w:t xml:space="preserve">) or 11 kids </w:t>
      </w:r>
      <w:r w:rsidR="00F9736E">
        <w:t xml:space="preserve">received pumpkin seed </w:t>
      </w:r>
      <w:r w:rsidR="00B33B4F">
        <w:t>oil at a rate of 0.9 ml/lb of body weight (</w:t>
      </w:r>
      <w:r w:rsidR="00F9736E">
        <w:t xml:space="preserve">6 ounces </w:t>
      </w:r>
      <w:r w:rsidR="006C6046" w:rsidRPr="00DC40F1">
        <w:t>pumpkin seed/</w:t>
      </w:r>
      <w:r w:rsidR="00F9736E">
        <w:t>75 lbs body weight</w:t>
      </w:r>
      <w:r w:rsidR="002D4A15">
        <w:t>)</w:t>
      </w:r>
      <w:r w:rsidR="00B33B4F">
        <w:t xml:space="preserve"> </w:t>
      </w:r>
      <w:r>
        <w:t xml:space="preserve">every other day.  </w:t>
      </w:r>
      <w:r w:rsidR="00B33B4F">
        <w:t>The p</w:t>
      </w:r>
      <w:r w:rsidR="006C6046">
        <w:t>umpkin</w:t>
      </w:r>
      <w:r w:rsidR="00B33B4F">
        <w:t xml:space="preserve"> seed oil (Swanson Organic Pumpkin Seed Oil) was purchased at </w:t>
      </w:r>
      <w:hyperlink r:id="rId7" w:history="1">
        <w:r w:rsidR="00B33B4F" w:rsidRPr="005A5ECC">
          <w:rPr>
            <w:rStyle w:val="Hyperlink"/>
          </w:rPr>
          <w:t>www.amazon.com</w:t>
        </w:r>
      </w:hyperlink>
      <w:r w:rsidR="00B33B4F">
        <w:t xml:space="preserve">.  Lamb </w:t>
      </w:r>
      <w:r w:rsidR="002D4A15">
        <w:t xml:space="preserve">body weights were </w:t>
      </w:r>
      <w:r w:rsidR="006C6046" w:rsidRPr="00DC40F1">
        <w:t>measured weekly</w:t>
      </w:r>
      <w:r w:rsidR="002D4A15">
        <w:t xml:space="preserve"> for </w:t>
      </w:r>
      <w:r w:rsidR="00BF32F8">
        <w:t>35</w:t>
      </w:r>
      <w:r w:rsidR="00B33B4F">
        <w:t xml:space="preserve"> </w:t>
      </w:r>
      <w:r w:rsidR="002D4A15">
        <w:t xml:space="preserve">days.  </w:t>
      </w:r>
      <w:r w:rsidR="006C6046" w:rsidRPr="00DC40F1">
        <w:t xml:space="preserve">Fecal </w:t>
      </w:r>
      <w:r w:rsidR="00B33B4F">
        <w:t xml:space="preserve">and blood </w:t>
      </w:r>
      <w:r w:rsidR="006C6046" w:rsidRPr="00DC40F1">
        <w:t xml:space="preserve">samples were also collected at </w:t>
      </w:r>
      <w:r w:rsidR="002D4A15">
        <w:t>weighing to determine individual fecal egg counts</w:t>
      </w:r>
      <w:r w:rsidR="002D4A15" w:rsidRPr="002D4A15">
        <w:t xml:space="preserve"> </w:t>
      </w:r>
      <w:r w:rsidR="00B33B4F">
        <w:t xml:space="preserve">and </w:t>
      </w:r>
      <w:r w:rsidR="002D4A15" w:rsidRPr="00DC40F1">
        <w:t>packed cell volume (PCV)</w:t>
      </w:r>
      <w:r w:rsidR="002D4A15">
        <w:t>. The packed cell volume determines the anemia</w:t>
      </w:r>
      <w:r w:rsidR="00A72A7B">
        <w:t xml:space="preserve"> level in the animal as a possible indicator of barber pole worm infection.  If an individual animals’ PCV wa</w:t>
      </w:r>
      <w:r w:rsidR="00A72A7B">
        <w:rPr>
          <w:rFonts w:eastAsia="Times New Roman"/>
        </w:rPr>
        <w:t xml:space="preserve">s &lt; 15%, animals were dewormed with </w:t>
      </w:r>
      <w:proofErr w:type="spellStart"/>
      <w:r w:rsidR="00A72A7B">
        <w:rPr>
          <w:rFonts w:eastAsia="Times New Roman"/>
        </w:rPr>
        <w:t>moxidectin</w:t>
      </w:r>
      <w:proofErr w:type="spellEnd"/>
      <w:r w:rsidR="00A72A7B">
        <w:rPr>
          <w:rFonts w:eastAsia="Times New Roman"/>
        </w:rPr>
        <w:t xml:space="preserve"> (0.</w:t>
      </w:r>
      <w:r w:rsidR="00B33B4F">
        <w:rPr>
          <w:rFonts w:eastAsia="Times New Roman"/>
        </w:rPr>
        <w:t>2</w:t>
      </w:r>
      <w:r w:rsidR="00A72A7B">
        <w:rPr>
          <w:rFonts w:eastAsia="Times New Roman"/>
        </w:rPr>
        <w:t xml:space="preserve"> mg/kg) and removed from the study.</w:t>
      </w:r>
      <w:r w:rsidR="00A72A7B" w:rsidRPr="0034353B">
        <w:rPr>
          <w:rFonts w:eastAsia="Times New Roman"/>
        </w:rPr>
        <w:t xml:space="preserve"> </w:t>
      </w:r>
      <w:r w:rsidR="00E01332">
        <w:rPr>
          <w:rFonts w:eastAsia="Times New Roman"/>
        </w:rPr>
        <w:t xml:space="preserve"> </w:t>
      </w:r>
      <w:r>
        <w:rPr>
          <w:rFonts w:eastAsia="Times New Roman"/>
        </w:rPr>
        <w:t xml:space="preserve">Pooled fecal samples were also collected on </w:t>
      </w:r>
      <w:r w:rsidR="00D71629">
        <w:rPr>
          <w:rFonts w:eastAsia="Times New Roman"/>
        </w:rPr>
        <w:t xml:space="preserve">days animals were weighed </w:t>
      </w:r>
      <w:r>
        <w:rPr>
          <w:rFonts w:eastAsia="Times New Roman"/>
        </w:rPr>
        <w:t xml:space="preserve">to identify worms.  </w:t>
      </w:r>
    </w:p>
    <w:p w:rsidR="00D928A4" w:rsidRDefault="00D928A4" w:rsidP="00D928A4">
      <w:pPr>
        <w:rPr>
          <w:bCs/>
          <w:i/>
        </w:rPr>
      </w:pPr>
    </w:p>
    <w:p w:rsidR="00D928A4" w:rsidRPr="00D928A4" w:rsidRDefault="0062714E" w:rsidP="0062714E">
      <w:pPr>
        <w:rPr>
          <w:i/>
        </w:rPr>
      </w:pPr>
      <w:r w:rsidRPr="00D928A4">
        <w:rPr>
          <w:i/>
          <w:u w:val="single"/>
        </w:rPr>
        <w:t>Results:</w:t>
      </w:r>
      <w:r w:rsidRPr="00D928A4">
        <w:rPr>
          <w:i/>
        </w:rPr>
        <w:t xml:space="preserve">  </w:t>
      </w:r>
    </w:p>
    <w:p w:rsidR="00D928A4" w:rsidRDefault="00D928A4" w:rsidP="0062714E"/>
    <w:p w:rsidR="003606EC" w:rsidRDefault="008943B5" w:rsidP="00454FE0">
      <w:r>
        <w:t xml:space="preserve">During the </w:t>
      </w:r>
      <w:r w:rsidR="00BF32F8">
        <w:t>35</w:t>
      </w:r>
      <w:r>
        <w:t xml:space="preserve">-day period, </w:t>
      </w:r>
      <w:r w:rsidR="00B3786F">
        <w:t xml:space="preserve">no </w:t>
      </w:r>
      <w:r w:rsidR="00BF32F8">
        <w:t xml:space="preserve">kids were dewormed </w:t>
      </w:r>
      <w:r w:rsidR="00B3786F">
        <w:t>and removed from the study.  Average b</w:t>
      </w:r>
      <w:r w:rsidR="009F525A">
        <w:t xml:space="preserve">ody weight increased steadily over the study period </w:t>
      </w:r>
      <w:r w:rsidR="00BF32F8">
        <w:t xml:space="preserve">for the un-treated group, however, in the group treated with the pumpkin seed oil, body weight decreased over the first seven days and then </w:t>
      </w:r>
      <w:proofErr w:type="gramStart"/>
      <w:r w:rsidR="00BF32F8">
        <w:t>started</w:t>
      </w:r>
      <w:proofErr w:type="gramEnd"/>
      <w:r w:rsidR="00BF32F8">
        <w:t xml:space="preserve"> to increase again (</w:t>
      </w:r>
      <w:r w:rsidR="009F525A">
        <w:t xml:space="preserve">Figure 1).  </w:t>
      </w:r>
      <w:r w:rsidR="00B3786F">
        <w:t>Figure 2 represents the average PCV of each group over the 28 day period</w:t>
      </w:r>
      <w:r w:rsidR="00BF32F8">
        <w:t xml:space="preserve"> and was numerically lower for the untreated compared to the pumpkin seed treated group</w:t>
      </w:r>
      <w:r w:rsidR="00B3786F">
        <w:t xml:space="preserve">. </w:t>
      </w:r>
      <w:proofErr w:type="gramStart"/>
      <w:r w:rsidR="00B3786F">
        <w:t>Average f</w:t>
      </w:r>
      <w:r w:rsidR="009F525A">
        <w:t xml:space="preserve">ecal egg counts </w:t>
      </w:r>
      <w:r w:rsidR="00B3786F">
        <w:t>kept decreasing in all groups over the study period regardless of treatment</w:t>
      </w:r>
      <w:r w:rsidR="00BF32F8">
        <w:t xml:space="preserve"> but was</w:t>
      </w:r>
      <w:proofErr w:type="gramEnd"/>
      <w:r w:rsidR="00BF32F8">
        <w:t xml:space="preserve"> numerically lower in the pumpkin seed group compared to the untreated group (Figure 3).  </w:t>
      </w:r>
      <w:r w:rsidR="00454FE0">
        <w:rPr>
          <w:color w:val="000000"/>
        </w:rPr>
        <w:t xml:space="preserve">The most predominant species of parasite present in the pooled fecal samples collected from CON and PUM-treated animals at each sampling </w:t>
      </w:r>
      <w:r w:rsidR="00454FE0" w:rsidRPr="00B92427">
        <w:rPr>
          <w:color w:val="000000"/>
        </w:rPr>
        <w:t xml:space="preserve">was </w:t>
      </w:r>
      <w:r w:rsidR="00454FE0">
        <w:rPr>
          <w:color w:val="000000"/>
        </w:rPr>
        <w:t xml:space="preserve">the barber pole worm.  </w:t>
      </w:r>
    </w:p>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9F525A" w:rsidRDefault="009F525A" w:rsidP="0062714E">
      <w:r>
        <w:t xml:space="preserve">Figure 1. Average body weights of </w:t>
      </w:r>
      <w:r w:rsidR="00BF32F8">
        <w:t xml:space="preserve">meat goat kids </w:t>
      </w:r>
      <w:r w:rsidR="003D6996">
        <w:t xml:space="preserve">receiving pumpkin seed oil </w:t>
      </w:r>
      <w:r w:rsidR="00BF32F8">
        <w:t xml:space="preserve">every other day (PUM) </w:t>
      </w:r>
      <w:r w:rsidR="003D6996">
        <w:t xml:space="preserve">or left untreated (CON) over a </w:t>
      </w:r>
      <w:r w:rsidR="00BF32F8">
        <w:t>35</w:t>
      </w:r>
      <w:r w:rsidR="003D6996">
        <w:t xml:space="preserve"> day period.  </w:t>
      </w:r>
    </w:p>
    <w:p w:rsidR="003606EC" w:rsidRDefault="003606EC" w:rsidP="0062714E">
      <w:pPr>
        <w:rPr>
          <w:bCs/>
        </w:rPr>
      </w:pPr>
    </w:p>
    <w:p w:rsidR="003606EC" w:rsidRDefault="00BF32F8" w:rsidP="0062714E">
      <w:pPr>
        <w:rPr>
          <w:bCs/>
        </w:rPr>
      </w:pPr>
      <w:r w:rsidRPr="00BF32F8">
        <w:rPr>
          <w:bCs/>
          <w:noProof/>
        </w:rPr>
        <w:drawing>
          <wp:inline distT="0" distB="0" distL="0" distR="0">
            <wp:extent cx="3962400" cy="222885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786F" w:rsidRDefault="00B3786F" w:rsidP="00B3786F"/>
    <w:p w:rsidR="00B3786F" w:rsidRDefault="00B3786F" w:rsidP="00B3786F"/>
    <w:p w:rsidR="00B3786F" w:rsidRDefault="00B3786F" w:rsidP="00B3786F"/>
    <w:p w:rsidR="00B3786F" w:rsidRDefault="00B3786F" w:rsidP="00B3786F"/>
    <w:p w:rsidR="00B3786F" w:rsidRDefault="00B3786F" w:rsidP="00B3786F"/>
    <w:p w:rsidR="00B3786F" w:rsidRDefault="00B3786F" w:rsidP="00B3786F"/>
    <w:p w:rsidR="00B3786F" w:rsidRDefault="00B3786F" w:rsidP="00B3786F"/>
    <w:p w:rsidR="00BF32F8" w:rsidRDefault="00B3786F" w:rsidP="00BF32F8">
      <w:r>
        <w:t xml:space="preserve">Figure 2. Average packed cell volume (PCV) of </w:t>
      </w:r>
      <w:r w:rsidR="00BF32F8">
        <w:t xml:space="preserve">meat goat kids receiving pumpkin seed oil every other day (PUM) or left untreated (CON) over a 35 day period.  </w:t>
      </w:r>
    </w:p>
    <w:p w:rsidR="00B3786F" w:rsidRDefault="00B3786F" w:rsidP="00B3786F"/>
    <w:p w:rsidR="00B3786F" w:rsidRDefault="00BF32F8" w:rsidP="009C7700">
      <w:r w:rsidRPr="00BF32F8">
        <w:rPr>
          <w:noProof/>
        </w:rPr>
        <w:drawing>
          <wp:inline distT="0" distB="0" distL="0" distR="0">
            <wp:extent cx="3943350" cy="264795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786F" w:rsidRDefault="00B3786F" w:rsidP="009C7700"/>
    <w:p w:rsidR="00B3786F" w:rsidRDefault="00B3786F" w:rsidP="009C7700"/>
    <w:p w:rsidR="00B3786F" w:rsidRDefault="00B3786F" w:rsidP="009C7700"/>
    <w:p w:rsidR="00B3786F" w:rsidRDefault="00B3786F" w:rsidP="009C7700"/>
    <w:p w:rsidR="00B3786F" w:rsidRDefault="00B3786F" w:rsidP="009C7700"/>
    <w:p w:rsidR="00B3786F" w:rsidRDefault="00B3786F" w:rsidP="009C7700"/>
    <w:p w:rsidR="00B3786F" w:rsidRDefault="00B3786F" w:rsidP="009C7700"/>
    <w:p w:rsidR="00BF32F8" w:rsidRDefault="009C7700" w:rsidP="00BF32F8">
      <w:r>
        <w:t xml:space="preserve">Figure </w:t>
      </w:r>
      <w:r w:rsidR="00B3786F">
        <w:t>3</w:t>
      </w:r>
      <w:r>
        <w:t xml:space="preserve">. Average </w:t>
      </w:r>
      <w:r w:rsidR="00AB2336">
        <w:t xml:space="preserve">fecal egg counts </w:t>
      </w:r>
      <w:r w:rsidR="00BF32F8">
        <w:t xml:space="preserve">of meat goat kids receiving pumpkin seed oil every other day (PUM) or left untreated (CON) over a 35 day period.  </w:t>
      </w:r>
    </w:p>
    <w:p w:rsidR="009C7700" w:rsidRDefault="009C7700" w:rsidP="009C7700"/>
    <w:p w:rsidR="003606EC" w:rsidRDefault="00BF32F8" w:rsidP="0062714E">
      <w:pPr>
        <w:rPr>
          <w:bCs/>
        </w:rPr>
      </w:pPr>
      <w:r w:rsidRPr="00BF32F8">
        <w:rPr>
          <w:bCs/>
          <w:noProof/>
        </w:rPr>
        <w:drawing>
          <wp:inline distT="0" distB="0" distL="0" distR="0">
            <wp:extent cx="4019550" cy="2600325"/>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2336" w:rsidRPr="005F12EB" w:rsidRDefault="00AB2336" w:rsidP="00B33B4F">
      <w:pPr>
        <w:rPr>
          <w:color w:val="000000"/>
          <w:sz w:val="20"/>
          <w:szCs w:val="20"/>
        </w:rPr>
      </w:pPr>
      <w:r w:rsidRPr="005F12EB">
        <w:rPr>
          <w:color w:val="000000"/>
          <w:sz w:val="20"/>
          <w:szCs w:val="20"/>
        </w:rPr>
        <w:t xml:space="preserve"> </w:t>
      </w:r>
    </w:p>
    <w:p w:rsidR="00B33B4F" w:rsidRDefault="00B33B4F" w:rsidP="00AB2336"/>
    <w:p w:rsidR="00AB2336" w:rsidRPr="00AB2336" w:rsidRDefault="00AB2336" w:rsidP="00AB2336">
      <w:pPr>
        <w:autoSpaceDE w:val="0"/>
        <w:autoSpaceDN w:val="0"/>
        <w:adjustRightInd w:val="0"/>
        <w:rPr>
          <w:color w:val="231F20"/>
        </w:rPr>
      </w:pPr>
    </w:p>
    <w:p w:rsidR="003606EC" w:rsidRPr="003606EC" w:rsidRDefault="003606EC" w:rsidP="003606EC">
      <w:pPr>
        <w:autoSpaceDE w:val="0"/>
        <w:autoSpaceDN w:val="0"/>
        <w:adjustRightInd w:val="0"/>
        <w:rPr>
          <w:color w:val="231F20"/>
        </w:rPr>
      </w:pPr>
    </w:p>
    <w:p w:rsidR="003606EC" w:rsidRDefault="003606EC"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Pr="00695710" w:rsidRDefault="005F12EB" w:rsidP="00695710">
      <w:pPr>
        <w:autoSpaceDE w:val="0"/>
        <w:autoSpaceDN w:val="0"/>
        <w:adjustRightInd w:val="0"/>
        <w:rPr>
          <w:color w:val="231F20"/>
        </w:rPr>
      </w:pPr>
    </w:p>
    <w:p w:rsidR="00933F92" w:rsidRDefault="00933F92" w:rsidP="00933F92">
      <w:pPr>
        <w:autoSpaceDE w:val="0"/>
        <w:autoSpaceDN w:val="0"/>
        <w:adjustRightInd w:val="0"/>
        <w:jc w:val="center"/>
        <w:rPr>
          <w:rFonts w:ascii="Cambria" w:hAnsi="Cambria"/>
          <w:color w:val="231F20"/>
          <w:sz w:val="16"/>
          <w:szCs w:val="16"/>
        </w:rPr>
      </w:pPr>
    </w:p>
    <w:p w:rsidR="00933F92" w:rsidRDefault="00933F92" w:rsidP="00933F92">
      <w:pPr>
        <w:autoSpaceDE w:val="0"/>
        <w:autoSpaceDN w:val="0"/>
        <w:adjustRightInd w:val="0"/>
        <w:jc w:val="center"/>
      </w:pPr>
      <w:r w:rsidRPr="009A3B78">
        <w:rPr>
          <w:rFonts w:ascii="Cambria" w:hAnsi="Cambria"/>
          <w:color w:val="231F20"/>
          <w:sz w:val="16"/>
          <w:szCs w:val="16"/>
        </w:rPr>
        <w:t>Cooperative Extension Education in Agriculture, 4-H and Home Economics, Delaware State University, University of Delaware and United States Department of Agriculture cooperating, Dr. Dyremple B. Marsh, Dean and Administrator. It is the policy of Delaware Cooperative Extension that no person shall be subjected to discrimination on the grounds of race, color, sex, disability, age, or national origin.</w:t>
      </w:r>
    </w:p>
    <w:sectPr w:rsidR="00933F92" w:rsidSect="004F15F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141628"/>
    <w:multiLevelType w:val="hybridMultilevel"/>
    <w:tmpl w:val="9BE8ADF2"/>
    <w:lvl w:ilvl="0" w:tplc="9364F1E0">
      <w:start w:val="1"/>
      <w:numFmt w:val="bullet"/>
      <w:lvlText w:val=""/>
      <w:lvlJc w:val="left"/>
      <w:pPr>
        <w:tabs>
          <w:tab w:val="num" w:pos="720"/>
        </w:tabs>
        <w:ind w:left="720" w:hanging="360"/>
      </w:pPr>
      <w:rPr>
        <w:rFonts w:ascii="Wingdings" w:hAnsi="Wingdings" w:hint="default"/>
      </w:rPr>
    </w:lvl>
    <w:lvl w:ilvl="1" w:tplc="A4C6EDF8">
      <w:start w:val="1"/>
      <w:numFmt w:val="bullet"/>
      <w:lvlText w:val=""/>
      <w:lvlJc w:val="left"/>
      <w:pPr>
        <w:tabs>
          <w:tab w:val="num" w:pos="1440"/>
        </w:tabs>
        <w:ind w:left="1440" w:hanging="360"/>
      </w:pPr>
      <w:rPr>
        <w:rFonts w:ascii="Wingdings" w:hAnsi="Wingdings" w:hint="default"/>
      </w:rPr>
    </w:lvl>
    <w:lvl w:ilvl="2" w:tplc="ED068412" w:tentative="1">
      <w:start w:val="1"/>
      <w:numFmt w:val="bullet"/>
      <w:lvlText w:val=""/>
      <w:lvlJc w:val="left"/>
      <w:pPr>
        <w:tabs>
          <w:tab w:val="num" w:pos="2160"/>
        </w:tabs>
        <w:ind w:left="2160" w:hanging="360"/>
      </w:pPr>
      <w:rPr>
        <w:rFonts w:ascii="Wingdings" w:hAnsi="Wingdings" w:hint="default"/>
      </w:rPr>
    </w:lvl>
    <w:lvl w:ilvl="3" w:tplc="44EEC2EA" w:tentative="1">
      <w:start w:val="1"/>
      <w:numFmt w:val="bullet"/>
      <w:lvlText w:val=""/>
      <w:lvlJc w:val="left"/>
      <w:pPr>
        <w:tabs>
          <w:tab w:val="num" w:pos="2880"/>
        </w:tabs>
        <w:ind w:left="2880" w:hanging="360"/>
      </w:pPr>
      <w:rPr>
        <w:rFonts w:ascii="Wingdings" w:hAnsi="Wingdings" w:hint="default"/>
      </w:rPr>
    </w:lvl>
    <w:lvl w:ilvl="4" w:tplc="480660DE" w:tentative="1">
      <w:start w:val="1"/>
      <w:numFmt w:val="bullet"/>
      <w:lvlText w:val=""/>
      <w:lvlJc w:val="left"/>
      <w:pPr>
        <w:tabs>
          <w:tab w:val="num" w:pos="3600"/>
        </w:tabs>
        <w:ind w:left="3600" w:hanging="360"/>
      </w:pPr>
      <w:rPr>
        <w:rFonts w:ascii="Wingdings" w:hAnsi="Wingdings" w:hint="default"/>
      </w:rPr>
    </w:lvl>
    <w:lvl w:ilvl="5" w:tplc="A7F87186" w:tentative="1">
      <w:start w:val="1"/>
      <w:numFmt w:val="bullet"/>
      <w:lvlText w:val=""/>
      <w:lvlJc w:val="left"/>
      <w:pPr>
        <w:tabs>
          <w:tab w:val="num" w:pos="4320"/>
        </w:tabs>
        <w:ind w:left="4320" w:hanging="360"/>
      </w:pPr>
      <w:rPr>
        <w:rFonts w:ascii="Wingdings" w:hAnsi="Wingdings" w:hint="default"/>
      </w:rPr>
    </w:lvl>
    <w:lvl w:ilvl="6" w:tplc="83C0EBFE" w:tentative="1">
      <w:start w:val="1"/>
      <w:numFmt w:val="bullet"/>
      <w:lvlText w:val=""/>
      <w:lvlJc w:val="left"/>
      <w:pPr>
        <w:tabs>
          <w:tab w:val="num" w:pos="5040"/>
        </w:tabs>
        <w:ind w:left="5040" w:hanging="360"/>
      </w:pPr>
      <w:rPr>
        <w:rFonts w:ascii="Wingdings" w:hAnsi="Wingdings" w:hint="default"/>
      </w:rPr>
    </w:lvl>
    <w:lvl w:ilvl="7" w:tplc="15107F90" w:tentative="1">
      <w:start w:val="1"/>
      <w:numFmt w:val="bullet"/>
      <w:lvlText w:val=""/>
      <w:lvlJc w:val="left"/>
      <w:pPr>
        <w:tabs>
          <w:tab w:val="num" w:pos="5760"/>
        </w:tabs>
        <w:ind w:left="5760" w:hanging="360"/>
      </w:pPr>
      <w:rPr>
        <w:rFonts w:ascii="Wingdings" w:hAnsi="Wingdings" w:hint="default"/>
      </w:rPr>
    </w:lvl>
    <w:lvl w:ilvl="8" w:tplc="299E05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2714E"/>
    <w:rsid w:val="0001182D"/>
    <w:rsid w:val="001218AC"/>
    <w:rsid w:val="001F7416"/>
    <w:rsid w:val="00254FAD"/>
    <w:rsid w:val="00274193"/>
    <w:rsid w:val="002D4A15"/>
    <w:rsid w:val="003606EC"/>
    <w:rsid w:val="0039375B"/>
    <w:rsid w:val="003D6996"/>
    <w:rsid w:val="00454FE0"/>
    <w:rsid w:val="004F15F8"/>
    <w:rsid w:val="005A2CE0"/>
    <w:rsid w:val="005D7428"/>
    <w:rsid w:val="005F12EB"/>
    <w:rsid w:val="0062714E"/>
    <w:rsid w:val="00676871"/>
    <w:rsid w:val="00695710"/>
    <w:rsid w:val="006A0CBE"/>
    <w:rsid w:val="006C6046"/>
    <w:rsid w:val="007941C1"/>
    <w:rsid w:val="007C1BB6"/>
    <w:rsid w:val="007E1ADC"/>
    <w:rsid w:val="008943B5"/>
    <w:rsid w:val="00933F92"/>
    <w:rsid w:val="00953B52"/>
    <w:rsid w:val="009B24DB"/>
    <w:rsid w:val="009C7700"/>
    <w:rsid w:val="009F525A"/>
    <w:rsid w:val="00A329B6"/>
    <w:rsid w:val="00A72A7B"/>
    <w:rsid w:val="00A93390"/>
    <w:rsid w:val="00AB1F7C"/>
    <w:rsid w:val="00AB2336"/>
    <w:rsid w:val="00B33B4F"/>
    <w:rsid w:val="00B3786F"/>
    <w:rsid w:val="00B87E80"/>
    <w:rsid w:val="00B97587"/>
    <w:rsid w:val="00BC358A"/>
    <w:rsid w:val="00BF32F8"/>
    <w:rsid w:val="00C40388"/>
    <w:rsid w:val="00C45575"/>
    <w:rsid w:val="00C718A9"/>
    <w:rsid w:val="00D71629"/>
    <w:rsid w:val="00D928A4"/>
    <w:rsid w:val="00D93C6B"/>
    <w:rsid w:val="00E01332"/>
    <w:rsid w:val="00EA4322"/>
    <w:rsid w:val="00EC02AB"/>
    <w:rsid w:val="00F121D9"/>
    <w:rsid w:val="00F22E5F"/>
    <w:rsid w:val="00F71B6D"/>
    <w:rsid w:val="00F84432"/>
    <w:rsid w:val="00F9736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2714E"/>
    <w:rPr>
      <w:rFonts w:ascii="Tahoma" w:hAnsi="Tahoma" w:cs="Tahoma"/>
      <w:sz w:val="16"/>
      <w:szCs w:val="16"/>
    </w:rPr>
  </w:style>
  <w:style w:type="character" w:customStyle="1" w:styleId="BalloonTextChar">
    <w:name w:val="Balloon Text Char"/>
    <w:basedOn w:val="DefaultParagraphFont"/>
    <w:link w:val="BalloonText"/>
    <w:uiPriority w:val="99"/>
    <w:semiHidden/>
    <w:rsid w:val="0062714E"/>
    <w:rPr>
      <w:rFonts w:ascii="Tahoma" w:eastAsia="Times New Roman" w:hAnsi="Tahoma" w:cs="Tahoma"/>
      <w:sz w:val="16"/>
      <w:szCs w:val="16"/>
    </w:rPr>
  </w:style>
  <w:style w:type="paragraph" w:styleId="ListParagraph">
    <w:name w:val="List Paragraph"/>
    <w:basedOn w:val="Normal"/>
    <w:uiPriority w:val="34"/>
    <w:qFormat/>
    <w:rsid w:val="00EC02AB"/>
    <w:pPr>
      <w:ind w:left="720"/>
      <w:contextualSpacing/>
    </w:pPr>
  </w:style>
  <w:style w:type="paragraph" w:customStyle="1" w:styleId="Default">
    <w:name w:val="Default"/>
    <w:rsid w:val="006C604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95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3B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7341925">
      <w:bodyDiv w:val="1"/>
      <w:marLeft w:val="0"/>
      <w:marRight w:val="0"/>
      <w:marTop w:val="0"/>
      <w:marBottom w:val="0"/>
      <w:divBdr>
        <w:top w:val="none" w:sz="0" w:space="0" w:color="auto"/>
        <w:left w:val="none" w:sz="0" w:space="0" w:color="auto"/>
        <w:bottom w:val="none" w:sz="0" w:space="0" w:color="auto"/>
        <w:right w:val="none" w:sz="0" w:space="0" w:color="auto"/>
      </w:divBdr>
      <w:divsChild>
        <w:div w:id="1120535349">
          <w:marLeft w:val="1166"/>
          <w:marRight w:val="0"/>
          <w:marTop w:val="101"/>
          <w:marBottom w:val="0"/>
          <w:divBdr>
            <w:top w:val="none" w:sz="0" w:space="0" w:color="auto"/>
            <w:left w:val="none" w:sz="0" w:space="0" w:color="auto"/>
            <w:bottom w:val="none" w:sz="0" w:space="0" w:color="auto"/>
            <w:right w:val="none" w:sz="0" w:space="0" w:color="auto"/>
          </w:divBdr>
        </w:div>
        <w:div w:id="241985556">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amazon.com" TargetMode="Externa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jjackson\Desktop\My%20Disc\All%20folders\Kwame\Kwame%20Matthews\Thesis\Experiment%203%20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jjackson\Desktop\My%20Disc\All%20folders\Kwame\Kwame%20Matthews\Thesis\Experiment%203%20da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jjackson\Desktop\My%20Disc\All%20folders\Kwame\Kwame%20Matthews\Thesis\Experiment%203%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BW!$B$53</c:f>
              <c:strCache>
                <c:ptCount val="1"/>
                <c:pt idx="0">
                  <c:v>CON</c:v>
                </c:pt>
              </c:strCache>
            </c:strRef>
          </c:tx>
          <c:cat>
            <c:numRef>
              <c:f>BW!$C$53:$C$58</c:f>
              <c:numCache>
                <c:formatCode>General</c:formatCode>
                <c:ptCount val="6"/>
                <c:pt idx="0">
                  <c:v>0.0</c:v>
                </c:pt>
                <c:pt idx="1">
                  <c:v>7.0</c:v>
                </c:pt>
                <c:pt idx="2">
                  <c:v>14.0</c:v>
                </c:pt>
                <c:pt idx="3">
                  <c:v>21.0</c:v>
                </c:pt>
                <c:pt idx="4">
                  <c:v>28.0</c:v>
                </c:pt>
                <c:pt idx="5">
                  <c:v>35.0</c:v>
                </c:pt>
              </c:numCache>
            </c:numRef>
          </c:cat>
          <c:val>
            <c:numRef>
              <c:f>BW!$D$53:$D$58</c:f>
              <c:numCache>
                <c:formatCode>General</c:formatCode>
                <c:ptCount val="6"/>
                <c:pt idx="0">
                  <c:v>20.10539999999999</c:v>
                </c:pt>
                <c:pt idx="1">
                  <c:v>20.97849999999999</c:v>
                </c:pt>
                <c:pt idx="2">
                  <c:v>20.83920000000001</c:v>
                </c:pt>
                <c:pt idx="3">
                  <c:v>21.46849999999998</c:v>
                </c:pt>
                <c:pt idx="4">
                  <c:v>21.29459999999999</c:v>
                </c:pt>
                <c:pt idx="5">
                  <c:v>21.7131</c:v>
                </c:pt>
              </c:numCache>
            </c:numRef>
          </c:val>
        </c:ser>
        <c:ser>
          <c:idx val="1"/>
          <c:order val="1"/>
          <c:tx>
            <c:strRef>
              <c:f>BW!$B$59</c:f>
              <c:strCache>
                <c:ptCount val="1"/>
                <c:pt idx="0">
                  <c:v>PUM</c:v>
                </c:pt>
              </c:strCache>
            </c:strRef>
          </c:tx>
          <c:cat>
            <c:numRef>
              <c:f>BW!$C$53:$C$58</c:f>
              <c:numCache>
                <c:formatCode>General</c:formatCode>
                <c:ptCount val="6"/>
                <c:pt idx="0">
                  <c:v>0.0</c:v>
                </c:pt>
                <c:pt idx="1">
                  <c:v>7.0</c:v>
                </c:pt>
                <c:pt idx="2">
                  <c:v>14.0</c:v>
                </c:pt>
                <c:pt idx="3">
                  <c:v>21.0</c:v>
                </c:pt>
                <c:pt idx="4">
                  <c:v>28.0</c:v>
                </c:pt>
                <c:pt idx="5">
                  <c:v>35.0</c:v>
                </c:pt>
              </c:numCache>
            </c:numRef>
          </c:cat>
          <c:val>
            <c:numRef>
              <c:f>BW!$D$59:$D$64</c:f>
              <c:numCache>
                <c:formatCode>General</c:formatCode>
                <c:ptCount val="6"/>
                <c:pt idx="0">
                  <c:v>20.0</c:v>
                </c:pt>
                <c:pt idx="1">
                  <c:v>18.3873</c:v>
                </c:pt>
                <c:pt idx="2">
                  <c:v>18.8445</c:v>
                </c:pt>
                <c:pt idx="3">
                  <c:v>19.67090000000001</c:v>
                </c:pt>
                <c:pt idx="4">
                  <c:v>19.7109</c:v>
                </c:pt>
                <c:pt idx="5">
                  <c:v>20.04179999999999</c:v>
                </c:pt>
              </c:numCache>
            </c:numRef>
          </c:val>
        </c:ser>
        <c:marker val="1"/>
        <c:axId val="743449672"/>
        <c:axId val="744891736"/>
      </c:lineChart>
      <c:catAx>
        <c:axId val="743449672"/>
        <c:scaling>
          <c:orientation val="minMax"/>
        </c:scaling>
        <c:axPos val="b"/>
        <c:title>
          <c:tx>
            <c:rich>
              <a:bodyPr/>
              <a:lstStyle/>
              <a:p>
                <a:pPr>
                  <a:defRPr/>
                </a:pPr>
                <a:r>
                  <a:rPr lang="en-US"/>
                  <a:t>Days</a:t>
                </a:r>
              </a:p>
            </c:rich>
          </c:tx>
          <c:layout/>
        </c:title>
        <c:numFmt formatCode="General" sourceLinked="1"/>
        <c:tickLblPos val="nextTo"/>
        <c:crossAx val="744891736"/>
        <c:crosses val="autoZero"/>
        <c:auto val="1"/>
        <c:lblAlgn val="ctr"/>
        <c:lblOffset val="100"/>
      </c:catAx>
      <c:valAx>
        <c:axId val="744891736"/>
        <c:scaling>
          <c:orientation val="minMax"/>
        </c:scaling>
        <c:axPos val="l"/>
        <c:majorGridlines/>
        <c:title>
          <c:tx>
            <c:rich>
              <a:bodyPr rot="-5400000" vert="horz"/>
              <a:lstStyle/>
              <a:p>
                <a:pPr>
                  <a:defRPr/>
                </a:pPr>
                <a:r>
                  <a:rPr lang="en-US"/>
                  <a:t>Body weights (kg)</a:t>
                </a:r>
              </a:p>
            </c:rich>
          </c:tx>
          <c:layout/>
        </c:title>
        <c:numFmt formatCode="General" sourceLinked="1"/>
        <c:tickLblPos val="nextTo"/>
        <c:crossAx val="743449672"/>
        <c:crosses val="autoZero"/>
        <c:crossBetween val="between"/>
      </c:valAx>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PCV!$B$17</c:f>
              <c:strCache>
                <c:ptCount val="1"/>
                <c:pt idx="0">
                  <c:v>CON</c:v>
                </c:pt>
              </c:strCache>
            </c:strRef>
          </c:tx>
          <c:marker>
            <c:symbol val="none"/>
          </c:marker>
          <c:errBars>
            <c:errDir val="y"/>
            <c:errBarType val="both"/>
            <c:errValType val="cust"/>
            <c:plus>
              <c:numRef>
                <c:f>PCV!$E$17:$E$22</c:f>
                <c:numCache>
                  <c:formatCode>General</c:formatCode>
                  <c:ptCount val="6"/>
                  <c:pt idx="0">
                    <c:v>1.7428</c:v>
                  </c:pt>
                  <c:pt idx="1">
                    <c:v>1.7428</c:v>
                  </c:pt>
                  <c:pt idx="2">
                    <c:v>1.7852</c:v>
                  </c:pt>
                  <c:pt idx="3">
                    <c:v>1.7428</c:v>
                  </c:pt>
                  <c:pt idx="4">
                    <c:v>1.7623</c:v>
                  </c:pt>
                  <c:pt idx="5">
                    <c:v>1.7852</c:v>
                  </c:pt>
                </c:numCache>
              </c:numRef>
            </c:plus>
            <c:minus>
              <c:numRef>
                <c:f>PCV!$E$17:$E$22</c:f>
                <c:numCache>
                  <c:formatCode>General</c:formatCode>
                  <c:ptCount val="6"/>
                  <c:pt idx="0">
                    <c:v>1.7428</c:v>
                  </c:pt>
                  <c:pt idx="1">
                    <c:v>1.7428</c:v>
                  </c:pt>
                  <c:pt idx="2">
                    <c:v>1.7852</c:v>
                  </c:pt>
                  <c:pt idx="3">
                    <c:v>1.7428</c:v>
                  </c:pt>
                  <c:pt idx="4">
                    <c:v>1.7623</c:v>
                  </c:pt>
                  <c:pt idx="5">
                    <c:v>1.7852</c:v>
                  </c:pt>
                </c:numCache>
              </c:numRef>
            </c:minus>
            <c:spPr>
              <a:ln w="3175">
                <a:solidFill>
                  <a:srgbClr val="000000"/>
                </a:solidFill>
                <a:prstDash val="solid"/>
              </a:ln>
            </c:spPr>
          </c:errBars>
          <c:cat>
            <c:numRef>
              <c:f>PCV!$C$17:$C$22</c:f>
              <c:numCache>
                <c:formatCode>General</c:formatCode>
                <c:ptCount val="6"/>
                <c:pt idx="0">
                  <c:v>0.0</c:v>
                </c:pt>
                <c:pt idx="1">
                  <c:v>7.0</c:v>
                </c:pt>
                <c:pt idx="2">
                  <c:v>14.0</c:v>
                </c:pt>
                <c:pt idx="3">
                  <c:v>21.0</c:v>
                </c:pt>
                <c:pt idx="4">
                  <c:v>28.0</c:v>
                </c:pt>
                <c:pt idx="5">
                  <c:v>35.0</c:v>
                </c:pt>
              </c:numCache>
            </c:numRef>
          </c:cat>
          <c:val>
            <c:numRef>
              <c:f>PCV!$D$17:$D$22</c:f>
              <c:numCache>
                <c:formatCode>General</c:formatCode>
                <c:ptCount val="6"/>
                <c:pt idx="0">
                  <c:v>26.8476</c:v>
                </c:pt>
                <c:pt idx="1">
                  <c:v>24.5989</c:v>
                </c:pt>
                <c:pt idx="2">
                  <c:v>25.92749999999998</c:v>
                </c:pt>
                <c:pt idx="3">
                  <c:v>26.40459999999999</c:v>
                </c:pt>
                <c:pt idx="4">
                  <c:v>24.29269999999999</c:v>
                </c:pt>
                <c:pt idx="5">
                  <c:v>24.658</c:v>
                </c:pt>
              </c:numCache>
            </c:numRef>
          </c:val>
        </c:ser>
        <c:ser>
          <c:idx val="1"/>
          <c:order val="1"/>
          <c:tx>
            <c:strRef>
              <c:f>PCV!$B$23</c:f>
              <c:strCache>
                <c:ptCount val="1"/>
                <c:pt idx="0">
                  <c:v>PUM</c:v>
                </c:pt>
              </c:strCache>
            </c:strRef>
          </c:tx>
          <c:marker>
            <c:symbol val="none"/>
          </c:marker>
          <c:errBars>
            <c:errDir val="y"/>
            <c:errBarType val="both"/>
            <c:errValType val="cust"/>
            <c:plus>
              <c:numRef>
                <c:f>PCV!$E$23:$E$28</c:f>
                <c:numCache>
                  <c:formatCode>General</c:formatCode>
                  <c:ptCount val="6"/>
                  <c:pt idx="0">
                    <c:v>1.8947</c:v>
                  </c:pt>
                  <c:pt idx="1">
                    <c:v>1.9516</c:v>
                  </c:pt>
                  <c:pt idx="2">
                    <c:v>1.9516</c:v>
                  </c:pt>
                  <c:pt idx="3">
                    <c:v>1.8947</c:v>
                  </c:pt>
                  <c:pt idx="4">
                    <c:v>1.8947</c:v>
                  </c:pt>
                  <c:pt idx="5">
                    <c:v>1.9201</c:v>
                  </c:pt>
                </c:numCache>
              </c:numRef>
            </c:plus>
            <c:minus>
              <c:numRef>
                <c:f>PCV!$E$23:$E$28</c:f>
                <c:numCache>
                  <c:formatCode>General</c:formatCode>
                  <c:ptCount val="6"/>
                  <c:pt idx="0">
                    <c:v>1.8947</c:v>
                  </c:pt>
                  <c:pt idx="1">
                    <c:v>1.9516</c:v>
                  </c:pt>
                  <c:pt idx="2">
                    <c:v>1.9516</c:v>
                  </c:pt>
                  <c:pt idx="3">
                    <c:v>1.8947</c:v>
                  </c:pt>
                  <c:pt idx="4">
                    <c:v>1.8947</c:v>
                  </c:pt>
                  <c:pt idx="5">
                    <c:v>1.9201</c:v>
                  </c:pt>
                </c:numCache>
              </c:numRef>
            </c:minus>
            <c:spPr>
              <a:ln w="3175">
                <a:solidFill>
                  <a:srgbClr val="000000"/>
                </a:solidFill>
                <a:prstDash val="solid"/>
              </a:ln>
            </c:spPr>
          </c:errBars>
          <c:cat>
            <c:numRef>
              <c:f>PCV!$C$17:$C$22</c:f>
              <c:numCache>
                <c:formatCode>General</c:formatCode>
                <c:ptCount val="6"/>
                <c:pt idx="0">
                  <c:v>0.0</c:v>
                </c:pt>
                <c:pt idx="1">
                  <c:v>7.0</c:v>
                </c:pt>
                <c:pt idx="2">
                  <c:v>14.0</c:v>
                </c:pt>
                <c:pt idx="3">
                  <c:v>21.0</c:v>
                </c:pt>
                <c:pt idx="4">
                  <c:v>28.0</c:v>
                </c:pt>
                <c:pt idx="5">
                  <c:v>35.0</c:v>
                </c:pt>
              </c:numCache>
            </c:numRef>
          </c:cat>
          <c:val>
            <c:numRef>
              <c:f>PCV!$D$23:$D$28</c:f>
              <c:numCache>
                <c:formatCode>General</c:formatCode>
                <c:ptCount val="6"/>
                <c:pt idx="0">
                  <c:v>27.77249999999999</c:v>
                </c:pt>
                <c:pt idx="1">
                  <c:v>30.03839999999999</c:v>
                </c:pt>
                <c:pt idx="2">
                  <c:v>29.9101</c:v>
                </c:pt>
                <c:pt idx="3">
                  <c:v>32.67740000000001</c:v>
                </c:pt>
                <c:pt idx="4">
                  <c:v>29.38859999999999</c:v>
                </c:pt>
                <c:pt idx="5">
                  <c:v>30.55819999999999</c:v>
                </c:pt>
              </c:numCache>
            </c:numRef>
          </c:val>
        </c:ser>
        <c:marker val="1"/>
        <c:axId val="576200104"/>
        <c:axId val="743488328"/>
      </c:lineChart>
      <c:catAx>
        <c:axId val="576200104"/>
        <c:scaling>
          <c:orientation val="minMax"/>
        </c:scaling>
        <c:axPos val="b"/>
        <c:title>
          <c:tx>
            <c:rich>
              <a:bodyPr/>
              <a:lstStyle/>
              <a:p>
                <a:pPr>
                  <a:defRPr/>
                </a:pPr>
                <a:r>
                  <a:rPr lang="en-US"/>
                  <a:t>Days</a:t>
                </a:r>
              </a:p>
            </c:rich>
          </c:tx>
          <c:layout/>
        </c:title>
        <c:numFmt formatCode="General" sourceLinked="1"/>
        <c:tickLblPos val="nextTo"/>
        <c:crossAx val="743488328"/>
        <c:crosses val="autoZero"/>
        <c:auto val="1"/>
        <c:lblAlgn val="ctr"/>
        <c:lblOffset val="100"/>
      </c:catAx>
      <c:valAx>
        <c:axId val="743488328"/>
        <c:scaling>
          <c:orientation val="minMax"/>
        </c:scaling>
        <c:axPos val="l"/>
        <c:majorGridlines/>
        <c:title>
          <c:tx>
            <c:rich>
              <a:bodyPr rot="-5400000" vert="horz"/>
              <a:lstStyle/>
              <a:p>
                <a:pPr>
                  <a:defRPr/>
                </a:pPr>
                <a:r>
                  <a:rPr lang="en-US"/>
                  <a:t>Packed cell volume (%)</a:t>
                </a:r>
              </a:p>
            </c:rich>
          </c:tx>
          <c:layout/>
        </c:title>
        <c:numFmt formatCode="General" sourceLinked="1"/>
        <c:tickLblPos val="nextTo"/>
        <c:crossAx val="576200104"/>
        <c:crosses val="autoZero"/>
        <c:crossBetween val="between"/>
      </c:valAx>
    </c:plotArea>
    <c:legend>
      <c:legendPos val="r"/>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
  <c:chart>
    <c:plotArea>
      <c:layout/>
      <c:lineChart>
        <c:grouping val="standard"/>
        <c:ser>
          <c:idx val="0"/>
          <c:order val="0"/>
          <c:tx>
            <c:strRef>
              <c:f>FEC!$B$45</c:f>
              <c:strCache>
                <c:ptCount val="1"/>
                <c:pt idx="0">
                  <c:v>CON</c:v>
                </c:pt>
              </c:strCache>
            </c:strRef>
          </c:tx>
          <c:cat>
            <c:numRef>
              <c:f>FEC!$C$45:$C$50</c:f>
              <c:numCache>
                <c:formatCode>General</c:formatCode>
                <c:ptCount val="6"/>
                <c:pt idx="0">
                  <c:v>0.0</c:v>
                </c:pt>
                <c:pt idx="1">
                  <c:v>7.0</c:v>
                </c:pt>
                <c:pt idx="2">
                  <c:v>14.0</c:v>
                </c:pt>
                <c:pt idx="3">
                  <c:v>21.0</c:v>
                </c:pt>
                <c:pt idx="4">
                  <c:v>28.0</c:v>
                </c:pt>
                <c:pt idx="5">
                  <c:v>35.0</c:v>
                </c:pt>
              </c:numCache>
            </c:numRef>
          </c:cat>
          <c:val>
            <c:numRef>
              <c:f>FEC!$D$45:$D$50</c:f>
              <c:numCache>
                <c:formatCode>General</c:formatCode>
                <c:ptCount val="6"/>
                <c:pt idx="0">
                  <c:v>5657.6</c:v>
                </c:pt>
                <c:pt idx="1">
                  <c:v>2536.1</c:v>
                </c:pt>
                <c:pt idx="2">
                  <c:v>2887.56</c:v>
                </c:pt>
                <c:pt idx="3">
                  <c:v>2371.28</c:v>
                </c:pt>
                <c:pt idx="4">
                  <c:v>2283.67</c:v>
                </c:pt>
                <c:pt idx="5">
                  <c:v>2014.9</c:v>
                </c:pt>
              </c:numCache>
            </c:numRef>
          </c:val>
        </c:ser>
        <c:ser>
          <c:idx val="1"/>
          <c:order val="1"/>
          <c:tx>
            <c:strRef>
              <c:f>FEC!$B$51</c:f>
              <c:strCache>
                <c:ptCount val="1"/>
                <c:pt idx="0">
                  <c:v>PUM</c:v>
                </c:pt>
              </c:strCache>
            </c:strRef>
          </c:tx>
          <c:cat>
            <c:numRef>
              <c:f>FEC!$C$45:$C$50</c:f>
              <c:numCache>
                <c:formatCode>General</c:formatCode>
                <c:ptCount val="6"/>
                <c:pt idx="0">
                  <c:v>0.0</c:v>
                </c:pt>
                <c:pt idx="1">
                  <c:v>7.0</c:v>
                </c:pt>
                <c:pt idx="2">
                  <c:v>14.0</c:v>
                </c:pt>
                <c:pt idx="3">
                  <c:v>21.0</c:v>
                </c:pt>
                <c:pt idx="4">
                  <c:v>28.0</c:v>
                </c:pt>
                <c:pt idx="5">
                  <c:v>35.0</c:v>
                </c:pt>
              </c:numCache>
            </c:numRef>
          </c:cat>
          <c:val>
            <c:numRef>
              <c:f>FEC!$D$51:$D$56</c:f>
              <c:numCache>
                <c:formatCode>General</c:formatCode>
                <c:ptCount val="6"/>
                <c:pt idx="0">
                  <c:v>4971.97</c:v>
                </c:pt>
                <c:pt idx="1">
                  <c:v>2251.52</c:v>
                </c:pt>
                <c:pt idx="2">
                  <c:v>1415.36</c:v>
                </c:pt>
                <c:pt idx="3">
                  <c:v>1298.18</c:v>
                </c:pt>
                <c:pt idx="4">
                  <c:v>1045.45</c:v>
                </c:pt>
                <c:pt idx="5">
                  <c:v>1392.55</c:v>
                </c:pt>
              </c:numCache>
            </c:numRef>
          </c:val>
        </c:ser>
        <c:marker val="1"/>
        <c:axId val="743499944"/>
        <c:axId val="743516040"/>
      </c:lineChart>
      <c:catAx>
        <c:axId val="743499944"/>
        <c:scaling>
          <c:orientation val="minMax"/>
        </c:scaling>
        <c:axPos val="b"/>
        <c:title>
          <c:tx>
            <c:rich>
              <a:bodyPr/>
              <a:lstStyle/>
              <a:p>
                <a:pPr>
                  <a:defRPr/>
                </a:pPr>
                <a:r>
                  <a:rPr lang="en-US"/>
                  <a:t>Days</a:t>
                </a:r>
              </a:p>
            </c:rich>
          </c:tx>
          <c:layout/>
        </c:title>
        <c:numFmt formatCode="General" sourceLinked="1"/>
        <c:tickLblPos val="nextTo"/>
        <c:crossAx val="743516040"/>
        <c:crosses val="autoZero"/>
        <c:auto val="1"/>
        <c:lblAlgn val="ctr"/>
        <c:lblOffset val="100"/>
      </c:catAx>
      <c:valAx>
        <c:axId val="743516040"/>
        <c:scaling>
          <c:orientation val="minMax"/>
        </c:scaling>
        <c:axPos val="l"/>
        <c:majorGridlines/>
        <c:title>
          <c:tx>
            <c:rich>
              <a:bodyPr rot="-5400000" vert="horz"/>
              <a:lstStyle/>
              <a:p>
                <a:pPr>
                  <a:defRPr/>
                </a:pPr>
                <a:r>
                  <a:rPr lang="en-US"/>
                  <a:t>Fecal</a:t>
                </a:r>
                <a:r>
                  <a:rPr lang="en-US" baseline="0"/>
                  <a:t> egg counts (epg)</a:t>
                </a:r>
                <a:endParaRPr lang="en-US"/>
              </a:p>
            </c:rich>
          </c:tx>
          <c:layout/>
        </c:title>
        <c:numFmt formatCode="General" sourceLinked="1"/>
        <c:tickLblPos val="nextTo"/>
        <c:crossAx val="743499944"/>
        <c:crosses val="autoZero"/>
        <c:crossBetween val="between"/>
      </c:valAx>
    </c:plotArea>
    <c:legend>
      <c:legendPos val="r"/>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98C4-7DF7-44C1-9E39-AA4F30A3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2458</Characters>
  <Application>Microsoft Word 12.0.0</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Delaware State University</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Dahlia Jackson</dc:creator>
  <cp:lastModifiedBy>Dahlia O Brien</cp:lastModifiedBy>
  <cp:revision>3</cp:revision>
  <cp:lastPrinted>2012-12-13T22:27:00Z</cp:lastPrinted>
  <dcterms:created xsi:type="dcterms:W3CDTF">2012-12-31T00:06:00Z</dcterms:created>
  <dcterms:modified xsi:type="dcterms:W3CDTF">2012-12-31T00:06:00Z</dcterms:modified>
</cp:coreProperties>
</file>