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5A" w:rsidRDefault="00244607">
      <w:r>
        <w:t>Charts for SARE Annual Report on Time to harvest</w:t>
      </w:r>
    </w:p>
    <w:p w:rsidR="00244607" w:rsidRDefault="00244607"/>
    <w:p w:rsidR="00244607" w:rsidRDefault="00244607">
      <w:r w:rsidRPr="00244607">
        <w:rPr>
          <w:noProof/>
        </w:rPr>
        <w:drawing>
          <wp:inline distT="0" distB="0" distL="0" distR="0">
            <wp:extent cx="8502650" cy="5207619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44607" w:rsidRDefault="00244607"/>
    <w:p w:rsidR="00244607" w:rsidRDefault="00244607">
      <w:r w:rsidRPr="00244607">
        <w:rPr>
          <w:noProof/>
        </w:rPr>
        <w:drawing>
          <wp:inline distT="0" distB="0" distL="0" distR="0">
            <wp:extent cx="8572500" cy="520762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4607" w:rsidRDefault="00244607"/>
    <w:p w:rsidR="00244607" w:rsidRDefault="00244607"/>
    <w:p w:rsidR="00244607" w:rsidRDefault="00244607"/>
    <w:p w:rsidR="00244607" w:rsidRDefault="00244607">
      <w:r w:rsidRPr="00244607">
        <w:rPr>
          <w:noProof/>
        </w:rPr>
        <w:drawing>
          <wp:inline distT="0" distB="0" distL="0" distR="0">
            <wp:extent cx="8642350" cy="4895385"/>
            <wp:effectExtent l="19050" t="0" r="25400" b="4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4607" w:rsidRDefault="00244607"/>
    <w:p w:rsidR="00244607" w:rsidRDefault="00244607">
      <w:r w:rsidRPr="00244607">
        <w:rPr>
          <w:noProof/>
        </w:rPr>
        <w:lastRenderedPageBreak/>
        <w:drawing>
          <wp:inline distT="0" distB="0" distL="0" distR="0">
            <wp:extent cx="8492583" cy="5715000"/>
            <wp:effectExtent l="19050" t="0" r="22767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4607" w:rsidRDefault="00244607">
      <w:r w:rsidRPr="00244607">
        <w:rPr>
          <w:noProof/>
        </w:rPr>
        <w:lastRenderedPageBreak/>
        <w:drawing>
          <wp:inline distT="0" distB="0" distL="0" distR="0">
            <wp:extent cx="8642350" cy="6286500"/>
            <wp:effectExtent l="19050" t="0" r="2540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4607" w:rsidRDefault="00244607">
      <w:r w:rsidRPr="00244607">
        <w:rPr>
          <w:noProof/>
        </w:rPr>
        <w:lastRenderedPageBreak/>
        <w:drawing>
          <wp:inline distT="0" distB="0" distL="0" distR="0">
            <wp:extent cx="8568101" cy="5943600"/>
            <wp:effectExtent l="19050" t="0" r="23449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4607" w:rsidRDefault="00244607"/>
    <w:p w:rsidR="00244607" w:rsidRDefault="00244607">
      <w:r w:rsidRPr="00244607">
        <w:rPr>
          <w:noProof/>
        </w:rPr>
        <w:drawing>
          <wp:inline distT="0" distB="0" distL="0" distR="0">
            <wp:extent cx="8783785" cy="5600700"/>
            <wp:effectExtent l="19050" t="0" r="1731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607" w:rsidRDefault="00244607"/>
    <w:p w:rsidR="00244607" w:rsidRDefault="00244607">
      <w:r w:rsidRPr="00244607">
        <w:rPr>
          <w:noProof/>
        </w:rPr>
        <w:drawing>
          <wp:inline distT="0" distB="0" distL="0" distR="0">
            <wp:extent cx="8708266" cy="5391615"/>
            <wp:effectExtent l="19050" t="0" r="16634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4607" w:rsidRPr="006D72B1" w:rsidRDefault="00244607">
      <w:pPr>
        <w:rPr>
          <w:sz w:val="2"/>
          <w:szCs w:val="2"/>
        </w:rPr>
      </w:pPr>
    </w:p>
    <w:sectPr w:rsidR="00244607" w:rsidRPr="006D72B1" w:rsidSect="006D0F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4607"/>
    <w:rsid w:val="00244607"/>
    <w:rsid w:val="00432F6A"/>
    <w:rsid w:val="00436F43"/>
    <w:rsid w:val="005B475A"/>
    <w:rsid w:val="006D0FE8"/>
    <w:rsid w:val="006D72B1"/>
    <w:rsid w:val="00B66C6A"/>
    <w:rsid w:val="00C5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Greenstar%20Lettuce%20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Greenstar%20Lettuce%20201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Vulcan%20Lettuce%202012%202nd%20yea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Vulcan%20Lettuce%202012%202nd%20yea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Broccoli%202012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Broccoli%202012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CORN%202012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Farm\SARE%20and%20Grants\Data%20from%20time%20to%20grow%20CORN%2020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sz="2000"/>
            </a:pPr>
            <a:r>
              <a:rPr lang="en-US" sz="2400" b="1" i="0" baseline="0"/>
              <a:t>Harvest Date Vs Seeding Date for Greenstar Lettuce, </a:t>
            </a:r>
          </a:p>
          <a:p>
            <a:pPr algn="ctr">
              <a:defRPr sz="2000"/>
            </a:pPr>
            <a:r>
              <a:rPr lang="en-US" sz="2400" b="1" i="0" baseline="0"/>
              <a:t>2011 and 2012 Comparison, Figure 1</a:t>
            </a:r>
            <a:endParaRPr lang="en-US" sz="2400"/>
          </a:p>
        </c:rich>
      </c:tx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0.17086193552729007"/>
          <c:y val="0.16049138771480798"/>
          <c:w val="0.78372148193014335"/>
          <c:h val="0.70490583124456763"/>
        </c:manualLayout>
      </c:layout>
      <c:scatterChart>
        <c:scatterStyle val="smoothMarker"/>
        <c:ser>
          <c:idx val="0"/>
          <c:order val="0"/>
          <c:tx>
            <c:strRef>
              <c:f>All!$AV$28</c:f>
              <c:strCache>
                <c:ptCount val="1"/>
                <c:pt idx="0">
                  <c:v>Day of year Harvested, 2012 average</c:v>
                </c:pt>
              </c:strCache>
            </c:strRef>
          </c:tx>
          <c:spPr>
            <a:ln w="63500"/>
          </c:spPr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All!$AV$29:$AV$72</c:f>
              <c:numCache>
                <c:formatCode>General</c:formatCode>
                <c:ptCount val="44"/>
                <c:pt idx="0">
                  <c:v>163</c:v>
                </c:pt>
                <c:pt idx="1">
                  <c:v>174.75</c:v>
                </c:pt>
                <c:pt idx="2">
                  <c:v>185</c:v>
                </c:pt>
                <c:pt idx="3">
                  <c:v>175.80000000000291</c:v>
                </c:pt>
                <c:pt idx="4">
                  <c:v>186</c:v>
                </c:pt>
                <c:pt idx="5">
                  <c:v>188</c:v>
                </c:pt>
                <c:pt idx="6">
                  <c:v>195.80000000000291</c:v>
                </c:pt>
                <c:pt idx="7">
                  <c:v>220.66666666666418</c:v>
                </c:pt>
                <c:pt idx="8">
                  <c:v>221.5</c:v>
                </c:pt>
                <c:pt idx="9">
                  <c:v>220</c:v>
                </c:pt>
                <c:pt idx="10">
                  <c:v>220.66666666666418</c:v>
                </c:pt>
                <c:pt idx="11">
                  <c:v>229</c:v>
                </c:pt>
                <c:pt idx="12">
                  <c:v>230.5</c:v>
                </c:pt>
                <c:pt idx="13">
                  <c:v>244</c:v>
                </c:pt>
                <c:pt idx="15">
                  <c:v>254</c:v>
                </c:pt>
                <c:pt idx="16">
                  <c:v>260</c:v>
                </c:pt>
                <c:pt idx="18">
                  <c:v>268.6666666666643</c:v>
                </c:pt>
                <c:pt idx="19">
                  <c:v>276</c:v>
                </c:pt>
                <c:pt idx="20">
                  <c:v>284.5</c:v>
                </c:pt>
                <c:pt idx="21">
                  <c:v>284</c:v>
                </c:pt>
                <c:pt idx="22">
                  <c:v>335</c:v>
                </c:pt>
                <c:pt idx="23">
                  <c:v>335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All!$AW$28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All!$AW$29:$AW$72</c:f>
              <c:numCache>
                <c:formatCode>General</c:formatCode>
                <c:ptCount val="44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16</c:v>
                </c:pt>
                <c:pt idx="4">
                  <c:v>14</c:v>
                </c:pt>
                <c:pt idx="5">
                  <c:v>17</c:v>
                </c:pt>
                <c:pt idx="6">
                  <c:v>9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7</c:v>
                </c:pt>
                <c:pt idx="12">
                  <c:v>9</c:v>
                </c:pt>
                <c:pt idx="13">
                  <c:v>14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25</c:v>
                </c:pt>
                <c:pt idx="19">
                  <c:v>18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All!$AX$28</c:f>
              <c:strCache>
                <c:ptCount val="1"/>
                <c:pt idx="0">
                  <c:v>Day of year Harvested, 2011 average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All!$AX$29:$AX$72</c:f>
              <c:numCache>
                <c:formatCode>General</c:formatCode>
                <c:ptCount val="44"/>
                <c:pt idx="24">
                  <c:v>162.33333333333584</c:v>
                </c:pt>
                <c:pt idx="26">
                  <c:v>170</c:v>
                </c:pt>
                <c:pt idx="27">
                  <c:v>169</c:v>
                </c:pt>
                <c:pt idx="28">
                  <c:v>173.16666666666418</c:v>
                </c:pt>
                <c:pt idx="29">
                  <c:v>184</c:v>
                </c:pt>
                <c:pt idx="30">
                  <c:v>189.66666666666418</c:v>
                </c:pt>
                <c:pt idx="31">
                  <c:v>192</c:v>
                </c:pt>
                <c:pt idx="32">
                  <c:v>197.75</c:v>
                </c:pt>
                <c:pt idx="33">
                  <c:v>204.19999999999698</c:v>
                </c:pt>
                <c:pt idx="34">
                  <c:v>209</c:v>
                </c:pt>
                <c:pt idx="35">
                  <c:v>215.75</c:v>
                </c:pt>
                <c:pt idx="36">
                  <c:v>221</c:v>
                </c:pt>
                <c:pt idx="38">
                  <c:v>233.5</c:v>
                </c:pt>
                <c:pt idx="39">
                  <c:v>242.5</c:v>
                </c:pt>
                <c:pt idx="40">
                  <c:v>251</c:v>
                </c:pt>
                <c:pt idx="41">
                  <c:v>280</c:v>
                </c:pt>
                <c:pt idx="42">
                  <c:v>287</c:v>
                </c:pt>
                <c:pt idx="43">
                  <c:v>298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All!$AY$28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All!$AY$29:$AY$72</c:f>
              <c:numCache>
                <c:formatCode>General</c:formatCode>
                <c:ptCount val="44"/>
                <c:pt idx="24">
                  <c:v>7</c:v>
                </c:pt>
                <c:pt idx="26">
                  <c:v>0</c:v>
                </c:pt>
                <c:pt idx="27">
                  <c:v>10</c:v>
                </c:pt>
                <c:pt idx="28">
                  <c:v>20</c:v>
                </c:pt>
                <c:pt idx="29">
                  <c:v>7</c:v>
                </c:pt>
                <c:pt idx="30">
                  <c:v>7</c:v>
                </c:pt>
                <c:pt idx="31">
                  <c:v>9</c:v>
                </c:pt>
                <c:pt idx="32">
                  <c:v>6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2</c:v>
                </c:pt>
                <c:pt idx="38">
                  <c:v>1</c:v>
                </c:pt>
                <c:pt idx="39">
                  <c:v>4</c:v>
                </c:pt>
                <c:pt idx="40">
                  <c:v>11</c:v>
                </c:pt>
                <c:pt idx="41">
                  <c:v>24</c:v>
                </c:pt>
                <c:pt idx="42">
                  <c:v>4</c:v>
                </c:pt>
                <c:pt idx="43">
                  <c:v>2</c:v>
                </c:pt>
              </c:numCache>
            </c:numRef>
          </c:yVal>
          <c:smooth val="1"/>
        </c:ser>
        <c:axId val="81112064"/>
        <c:axId val="82338560"/>
      </c:scatterChart>
      <c:valAx>
        <c:axId val="81112064"/>
        <c:scaling>
          <c:orientation val="minMax"/>
          <c:max val="240"/>
          <c:min val="7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 b="1" i="0" baseline="0"/>
                  <a:t>Day of year Seeded</a:t>
                </a:r>
                <a:endParaRPr lang="en-US" sz="2000"/>
              </a:p>
            </c:rich>
          </c:tx>
        </c:title>
        <c:numFmt formatCode="m/d;@" sourceLinked="0"/>
        <c:minorTickMark val="in"/>
        <c:tickLblPos val="nextTo"/>
        <c:txPr>
          <a:bodyPr rot="0" vert="horz"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338560"/>
        <c:crosses val="autoZero"/>
        <c:crossBetween val="midCat"/>
        <c:majorUnit val="28"/>
        <c:minorUnit val="7"/>
      </c:valAx>
      <c:valAx>
        <c:axId val="82338560"/>
        <c:scaling>
          <c:orientation val="minMax"/>
          <c:max val="365"/>
          <c:min val="153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2000"/>
                </a:pPr>
                <a:r>
                  <a:rPr lang="en-US" sz="1800" b="1" i="0" baseline="0"/>
                  <a:t>Average Day of year Harvested</a:t>
                </a:r>
                <a:endParaRPr lang="en-US" sz="2000"/>
              </a:p>
            </c:rich>
          </c:tx>
        </c:title>
        <c:numFmt formatCode="m/d;@" sourceLinked="0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81112064"/>
        <c:crosses val="autoZero"/>
        <c:crossBetween val="midCat"/>
        <c:majorUnit val="28"/>
        <c:minorUnit val="7"/>
      </c:valAx>
    </c:plotArea>
    <c:legend>
      <c:legendPos val="r"/>
      <c:layout>
        <c:manualLayout>
          <c:xMode val="edge"/>
          <c:yMode val="edge"/>
          <c:x val="0.18698629250880625"/>
          <c:y val="0.18496860081353883"/>
          <c:w val="0.33427299703264235"/>
          <c:h val="0.16854753325325861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sz="2000"/>
            </a:pPr>
            <a:r>
              <a:rPr lang="en-US" sz="2000" b="1" i="0" baseline="0"/>
              <a:t>Harvest Window Vs Seeding Date for Greenstar Lettuce, </a:t>
            </a:r>
          </a:p>
          <a:p>
            <a:pPr algn="ctr">
              <a:defRPr sz="2000"/>
            </a:pPr>
            <a:r>
              <a:rPr lang="en-US" sz="2000" b="1" i="0" baseline="0"/>
              <a:t>2011 and 2012 Comparison</a:t>
            </a:r>
            <a:r>
              <a:rPr lang="en-US" sz="1800" b="1" i="0" u="none" strike="noStrike" baseline="0"/>
              <a:t>, Figure 2</a:t>
            </a:r>
            <a:endParaRPr lang="en-US" sz="2000"/>
          </a:p>
        </c:rich>
      </c:tx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0.12078806358404011"/>
          <c:y val="8.4890564526891768E-2"/>
          <c:w val="0.85293231150260518"/>
          <c:h val="0.79761100080266956"/>
        </c:manualLayout>
      </c:layout>
      <c:scatterChart>
        <c:scatterStyle val="smoothMarker"/>
        <c:ser>
          <c:idx val="1"/>
          <c:order val="0"/>
          <c:tx>
            <c:strRef>
              <c:f>All!$AW$28</c:f>
              <c:strCache>
                <c:ptCount val="1"/>
                <c:pt idx="0">
                  <c:v>Harvest window, 2012</c:v>
                </c:pt>
              </c:strCache>
            </c:strRef>
          </c:tx>
          <c:spPr>
            <a:ln w="63500"/>
          </c:spPr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All!$AW$29:$AW$72</c:f>
              <c:numCache>
                <c:formatCode>General</c:formatCode>
                <c:ptCount val="44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16</c:v>
                </c:pt>
                <c:pt idx="4">
                  <c:v>14</c:v>
                </c:pt>
                <c:pt idx="5">
                  <c:v>17</c:v>
                </c:pt>
                <c:pt idx="6">
                  <c:v>9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7</c:v>
                </c:pt>
                <c:pt idx="12">
                  <c:v>9</c:v>
                </c:pt>
                <c:pt idx="13">
                  <c:v>14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25</c:v>
                </c:pt>
                <c:pt idx="19">
                  <c:v>18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All!$AY$28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All!$AU$29:$AU$72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102</c:v>
                </c:pt>
                <c:pt idx="3">
                  <c:v>110</c:v>
                </c:pt>
                <c:pt idx="4">
                  <c:v>116</c:v>
                </c:pt>
                <c:pt idx="5">
                  <c:v>123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173</c:v>
                </c:pt>
                <c:pt idx="12">
                  <c:v>178</c:v>
                </c:pt>
                <c:pt idx="13">
                  <c:v>184</c:v>
                </c:pt>
                <c:pt idx="14">
                  <c:v>192</c:v>
                </c:pt>
                <c:pt idx="15">
                  <c:v>192</c:v>
                </c:pt>
                <c:pt idx="16">
                  <c:v>197</c:v>
                </c:pt>
                <c:pt idx="17">
                  <c:v>201</c:v>
                </c:pt>
                <c:pt idx="18">
                  <c:v>204</c:v>
                </c:pt>
                <c:pt idx="19">
                  <c:v>204</c:v>
                </c:pt>
                <c:pt idx="20">
                  <c:v>213</c:v>
                </c:pt>
                <c:pt idx="21">
                  <c:v>215</c:v>
                </c:pt>
                <c:pt idx="22">
                  <c:v>222</c:v>
                </c:pt>
                <c:pt idx="23">
                  <c:v>225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All!$AY$29:$AY$72</c:f>
              <c:numCache>
                <c:formatCode>General</c:formatCode>
                <c:ptCount val="44"/>
                <c:pt idx="24">
                  <c:v>7</c:v>
                </c:pt>
                <c:pt idx="26">
                  <c:v>0</c:v>
                </c:pt>
                <c:pt idx="27">
                  <c:v>10</c:v>
                </c:pt>
                <c:pt idx="28">
                  <c:v>20</c:v>
                </c:pt>
                <c:pt idx="29">
                  <c:v>7</c:v>
                </c:pt>
                <c:pt idx="30">
                  <c:v>7</c:v>
                </c:pt>
                <c:pt idx="31">
                  <c:v>9</c:v>
                </c:pt>
                <c:pt idx="32">
                  <c:v>6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2</c:v>
                </c:pt>
                <c:pt idx="38">
                  <c:v>1</c:v>
                </c:pt>
                <c:pt idx="39">
                  <c:v>4</c:v>
                </c:pt>
                <c:pt idx="40">
                  <c:v>11</c:v>
                </c:pt>
                <c:pt idx="41">
                  <c:v>24</c:v>
                </c:pt>
                <c:pt idx="42">
                  <c:v>4</c:v>
                </c:pt>
                <c:pt idx="43">
                  <c:v>2</c:v>
                </c:pt>
              </c:numCache>
            </c:numRef>
          </c:yVal>
          <c:smooth val="1"/>
        </c:ser>
        <c:axId val="92876800"/>
        <c:axId val="92879104"/>
      </c:scatterChart>
      <c:valAx>
        <c:axId val="92876800"/>
        <c:scaling>
          <c:orientation val="minMax"/>
          <c:max val="240"/>
          <c:min val="7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 b="1" i="0" baseline="0"/>
                  <a:t>Day of year Seeded</a:t>
                </a:r>
                <a:endParaRPr lang="en-US" sz="2000"/>
              </a:p>
            </c:rich>
          </c:tx>
        </c:title>
        <c:numFmt formatCode="m/d;@" sourceLinked="0"/>
        <c:minorTickMark val="in"/>
        <c:tickLblPos val="nextTo"/>
        <c:txPr>
          <a:bodyPr rot="0" vert="horz"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879104"/>
        <c:crosses val="autoZero"/>
        <c:crossBetween val="midCat"/>
        <c:majorUnit val="28"/>
        <c:minorUnit val="7"/>
      </c:valAx>
      <c:valAx>
        <c:axId val="92879104"/>
        <c:scaling>
          <c:orientation val="minMax"/>
          <c:min val="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2000"/>
                </a:pPr>
                <a:r>
                  <a:rPr lang="en-US" sz="1800" b="1" i="0" baseline="0"/>
                  <a:t>Harvest Widow, days</a:t>
                </a:r>
                <a:endParaRPr lang="en-US" sz="2000"/>
              </a:p>
            </c:rich>
          </c:tx>
        </c:title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928768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2860869058034445"/>
          <c:y val="0.27988447697796759"/>
          <c:w val="0.26019889180519101"/>
          <c:h val="0.16854753325325861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Harvest Date Vs Seeding Date for Vulcan Lettuce, </a:t>
            </a:r>
          </a:p>
          <a:p>
            <a:pPr>
              <a:defRPr/>
            </a:pPr>
            <a:r>
              <a:rPr lang="en-US"/>
              <a:t>2011 and 2012 comparison, Figure</a:t>
            </a:r>
            <a:r>
              <a:rPr lang="en-US" baseline="0"/>
              <a:t> 3</a:t>
            </a:r>
            <a:endParaRPr lang="en-US"/>
          </a:p>
        </c:rich>
      </c:tx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0.12623548092400078"/>
          <c:y val="8.4819878042883087E-2"/>
          <c:w val="0.85272980380215013"/>
          <c:h val="0.80325006484742156"/>
        </c:manualLayout>
      </c:layout>
      <c:scatterChart>
        <c:scatterStyle val="lineMarker"/>
        <c:ser>
          <c:idx val="0"/>
          <c:order val="0"/>
          <c:tx>
            <c:strRef>
              <c:f>All!$AK$28</c:f>
              <c:strCache>
                <c:ptCount val="1"/>
                <c:pt idx="0">
                  <c:v>Day of year Harvested, 2012 average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All!$AK$29:$AK$72</c:f>
              <c:numCache>
                <c:formatCode>General</c:formatCode>
                <c:ptCount val="44"/>
                <c:pt idx="0">
                  <c:v>163</c:v>
                </c:pt>
                <c:pt idx="1">
                  <c:v>173.75</c:v>
                </c:pt>
                <c:pt idx="2">
                  <c:v>182.19999999999698</c:v>
                </c:pt>
                <c:pt idx="3">
                  <c:v>185.59999999999852</c:v>
                </c:pt>
                <c:pt idx="4">
                  <c:v>204.16666666666418</c:v>
                </c:pt>
                <c:pt idx="5">
                  <c:v>221.75</c:v>
                </c:pt>
                <c:pt idx="6">
                  <c:v>215.25</c:v>
                </c:pt>
                <c:pt idx="7">
                  <c:v>232</c:v>
                </c:pt>
                <c:pt idx="8">
                  <c:v>219.5</c:v>
                </c:pt>
                <c:pt idx="9">
                  <c:v>230.5</c:v>
                </c:pt>
                <c:pt idx="10">
                  <c:v>246.5</c:v>
                </c:pt>
                <c:pt idx="12">
                  <c:v>256.6666666666643</c:v>
                </c:pt>
                <c:pt idx="13">
                  <c:v>264.5</c:v>
                </c:pt>
                <c:pt idx="15">
                  <c:v>269.40000000000146</c:v>
                </c:pt>
                <c:pt idx="16">
                  <c:v>276.5</c:v>
                </c:pt>
                <c:pt idx="17">
                  <c:v>284</c:v>
                </c:pt>
                <c:pt idx="18">
                  <c:v>284</c:v>
                </c:pt>
                <c:pt idx="19">
                  <c:v>365</c:v>
                </c:pt>
                <c:pt idx="20">
                  <c:v>365</c:v>
                </c:pt>
                <c:pt idx="21">
                  <c:v>365</c:v>
                </c:pt>
                <c:pt idx="22">
                  <c:v>365</c:v>
                </c:pt>
                <c:pt idx="23">
                  <c:v>365</c:v>
                </c:pt>
              </c:numCache>
            </c:numRef>
          </c:yVal>
        </c:ser>
        <c:ser>
          <c:idx val="1"/>
          <c:order val="1"/>
          <c:tx>
            <c:strRef>
              <c:f>All!$AL$28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All!$AL$29:$AL$72</c:f>
              <c:numCache>
                <c:formatCode>General</c:formatCode>
                <c:ptCount val="4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  <c:pt idx="4">
                  <c:v>13</c:v>
                </c:pt>
                <c:pt idx="5">
                  <c:v>6</c:v>
                </c:pt>
                <c:pt idx="6">
                  <c:v>9</c:v>
                </c:pt>
                <c:pt idx="7">
                  <c:v>7</c:v>
                </c:pt>
                <c:pt idx="8">
                  <c:v>3</c:v>
                </c:pt>
                <c:pt idx="9">
                  <c:v>9</c:v>
                </c:pt>
                <c:pt idx="10">
                  <c:v>11</c:v>
                </c:pt>
                <c:pt idx="12">
                  <c:v>7</c:v>
                </c:pt>
                <c:pt idx="13">
                  <c:v>5</c:v>
                </c:pt>
                <c:pt idx="15">
                  <c:v>24</c:v>
                </c:pt>
                <c:pt idx="16">
                  <c:v>17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</c:ser>
        <c:ser>
          <c:idx val="2"/>
          <c:order val="2"/>
          <c:tx>
            <c:strRef>
              <c:f>All!$AM$28</c:f>
              <c:strCache>
                <c:ptCount val="1"/>
                <c:pt idx="0">
                  <c:v>Day of year Harvested, 2011 average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All!$AM$29:$AM$72</c:f>
              <c:numCache>
                <c:formatCode>General</c:formatCode>
                <c:ptCount val="44"/>
                <c:pt idx="24">
                  <c:v>162</c:v>
                </c:pt>
                <c:pt idx="25">
                  <c:v>166</c:v>
                </c:pt>
                <c:pt idx="26">
                  <c:v>159</c:v>
                </c:pt>
                <c:pt idx="27">
                  <c:v>171.75</c:v>
                </c:pt>
                <c:pt idx="28">
                  <c:v>181.33333333333584</c:v>
                </c:pt>
                <c:pt idx="29">
                  <c:v>183.66666666666418</c:v>
                </c:pt>
                <c:pt idx="30">
                  <c:v>186</c:v>
                </c:pt>
                <c:pt idx="31">
                  <c:v>196</c:v>
                </c:pt>
                <c:pt idx="32">
                  <c:v>199</c:v>
                </c:pt>
                <c:pt idx="33">
                  <c:v>203.5</c:v>
                </c:pt>
                <c:pt idx="34">
                  <c:v>209</c:v>
                </c:pt>
                <c:pt idx="35">
                  <c:v>215.75</c:v>
                </c:pt>
                <c:pt idx="36">
                  <c:v>222</c:v>
                </c:pt>
                <c:pt idx="38">
                  <c:v>234.33333333333584</c:v>
                </c:pt>
                <c:pt idx="39">
                  <c:v>248.75</c:v>
                </c:pt>
                <c:pt idx="40">
                  <c:v>255.5</c:v>
                </c:pt>
                <c:pt idx="41">
                  <c:v>265</c:v>
                </c:pt>
                <c:pt idx="42">
                  <c:v>292</c:v>
                </c:pt>
                <c:pt idx="43">
                  <c:v>299</c:v>
                </c:pt>
              </c:numCache>
            </c:numRef>
          </c:yVal>
        </c:ser>
        <c:ser>
          <c:idx val="3"/>
          <c:order val="3"/>
          <c:tx>
            <c:strRef>
              <c:f>All!$AN$28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All!$AN$29:$AN$72</c:f>
              <c:numCache>
                <c:formatCode>General</c:formatCode>
                <c:ptCount val="44"/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21</c:v>
                </c:pt>
                <c:pt idx="28">
                  <c:v>16</c:v>
                </c:pt>
                <c:pt idx="29">
                  <c:v>6</c:v>
                </c:pt>
                <c:pt idx="30">
                  <c:v>2</c:v>
                </c:pt>
                <c:pt idx="31">
                  <c:v>4</c:v>
                </c:pt>
                <c:pt idx="32">
                  <c:v>2</c:v>
                </c:pt>
                <c:pt idx="33">
                  <c:v>5</c:v>
                </c:pt>
                <c:pt idx="34">
                  <c:v>7</c:v>
                </c:pt>
                <c:pt idx="35">
                  <c:v>6</c:v>
                </c:pt>
                <c:pt idx="36">
                  <c:v>0</c:v>
                </c:pt>
                <c:pt idx="38">
                  <c:v>3</c:v>
                </c:pt>
                <c:pt idx="39">
                  <c:v>18</c:v>
                </c:pt>
                <c:pt idx="40">
                  <c:v>11</c:v>
                </c:pt>
                <c:pt idx="41">
                  <c:v>0</c:v>
                </c:pt>
                <c:pt idx="42">
                  <c:v>14</c:v>
                </c:pt>
                <c:pt idx="43">
                  <c:v>0</c:v>
                </c:pt>
              </c:numCache>
            </c:numRef>
          </c:yVal>
        </c:ser>
        <c:axId val="104412288"/>
        <c:axId val="105173376"/>
      </c:scatterChart>
      <c:valAx>
        <c:axId val="104412288"/>
        <c:scaling>
          <c:orientation val="minMax"/>
          <c:max val="240"/>
          <c:min val="7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 of year Planted</a:t>
                </a:r>
              </a:p>
            </c:rich>
          </c:tx>
        </c:title>
        <c:numFmt formatCode="m/d;@" sourceLinked="0"/>
        <c:minorTickMark val="in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5173376"/>
        <c:crosses val="autoZero"/>
        <c:crossBetween val="midCat"/>
        <c:majorUnit val="28"/>
        <c:minorUnit val="7"/>
      </c:valAx>
      <c:valAx>
        <c:axId val="105173376"/>
        <c:scaling>
          <c:orientation val="minMax"/>
          <c:max val="366"/>
          <c:min val="153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/>
                  <a:t>Day of year Harvested</a:t>
                </a:r>
              </a:p>
            </c:rich>
          </c:tx>
          <c:layout>
            <c:manualLayout>
              <c:xMode val="edge"/>
              <c:yMode val="edge"/>
              <c:x val="2.0056354316207708E-2"/>
              <c:y val="0.34622291246257536"/>
            </c:manualLayout>
          </c:layout>
        </c:title>
        <c:numFmt formatCode="m/d;@" sourceLinked="0"/>
        <c:minorTickMark val="in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04412288"/>
        <c:crosses val="autoZero"/>
        <c:crossBetween val="midCat"/>
        <c:majorUnit val="28"/>
        <c:minorUnit val="7"/>
      </c:valAx>
    </c:plotArea>
    <c:legend>
      <c:legendPos val="r"/>
      <c:layout>
        <c:manualLayout>
          <c:xMode val="edge"/>
          <c:yMode val="edge"/>
          <c:x val="0.2261049723756906"/>
          <c:y val="0.20663619936955116"/>
          <c:w val="0.3595303867403315"/>
          <c:h val="0.12609108534800001"/>
        </c:manualLayout>
      </c:layout>
      <c:spPr>
        <a:solidFill>
          <a:schemeClr val="bg1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txPr>
    <a:bodyPr/>
    <a:lstStyle/>
    <a:p>
      <a:pPr>
        <a:defRPr sz="1600"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Harvest window Vs Seeding Date for Vulcan Lettuce, </a:t>
            </a:r>
          </a:p>
          <a:p>
            <a:pPr>
              <a:defRPr/>
            </a:pPr>
            <a:r>
              <a:rPr lang="en-US"/>
              <a:t>2011 and 2012 comparison, figure 4</a:t>
            </a:r>
          </a:p>
        </c:rich>
      </c:tx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0.12623548092400083"/>
          <c:y val="8.4819878042883157E-2"/>
          <c:w val="0.85272980380215035"/>
          <c:h val="0.80325006484742156"/>
        </c:manualLayout>
      </c:layout>
      <c:scatterChart>
        <c:scatterStyle val="lineMarker"/>
        <c:ser>
          <c:idx val="1"/>
          <c:order val="0"/>
          <c:tx>
            <c:strRef>
              <c:f>All!$AL$28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All!$AL$29:$AL$72</c:f>
              <c:numCache>
                <c:formatCode>General</c:formatCode>
                <c:ptCount val="4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  <c:pt idx="4">
                  <c:v>13</c:v>
                </c:pt>
                <c:pt idx="5">
                  <c:v>6</c:v>
                </c:pt>
                <c:pt idx="6">
                  <c:v>9</c:v>
                </c:pt>
                <c:pt idx="7">
                  <c:v>7</c:v>
                </c:pt>
                <c:pt idx="8">
                  <c:v>3</c:v>
                </c:pt>
                <c:pt idx="9">
                  <c:v>9</c:v>
                </c:pt>
                <c:pt idx="10">
                  <c:v>11</c:v>
                </c:pt>
                <c:pt idx="12">
                  <c:v>7</c:v>
                </c:pt>
                <c:pt idx="13">
                  <c:v>5</c:v>
                </c:pt>
                <c:pt idx="15">
                  <c:v>24</c:v>
                </c:pt>
                <c:pt idx="16">
                  <c:v>17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</c:ser>
        <c:ser>
          <c:idx val="3"/>
          <c:order val="1"/>
          <c:tx>
            <c:strRef>
              <c:f>All!$AN$28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All!$AN$29:$AN$72</c:f>
              <c:numCache>
                <c:formatCode>General</c:formatCode>
                <c:ptCount val="44"/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21</c:v>
                </c:pt>
                <c:pt idx="28">
                  <c:v>16</c:v>
                </c:pt>
                <c:pt idx="29">
                  <c:v>6</c:v>
                </c:pt>
                <c:pt idx="30">
                  <c:v>2</c:v>
                </c:pt>
                <c:pt idx="31">
                  <c:v>4</c:v>
                </c:pt>
                <c:pt idx="32">
                  <c:v>2</c:v>
                </c:pt>
                <c:pt idx="33">
                  <c:v>5</c:v>
                </c:pt>
                <c:pt idx="34">
                  <c:v>7</c:v>
                </c:pt>
                <c:pt idx="35">
                  <c:v>6</c:v>
                </c:pt>
                <c:pt idx="36">
                  <c:v>0</c:v>
                </c:pt>
                <c:pt idx="38">
                  <c:v>3</c:v>
                </c:pt>
                <c:pt idx="39">
                  <c:v>18</c:v>
                </c:pt>
                <c:pt idx="40">
                  <c:v>11</c:v>
                </c:pt>
                <c:pt idx="41">
                  <c:v>0</c:v>
                </c:pt>
                <c:pt idx="42">
                  <c:v>14</c:v>
                </c:pt>
                <c:pt idx="43">
                  <c:v>0</c:v>
                </c:pt>
              </c:numCache>
            </c:numRef>
          </c:yVal>
        </c:ser>
        <c:axId val="105164160"/>
        <c:axId val="108930560"/>
      </c:scatterChart>
      <c:valAx>
        <c:axId val="105164160"/>
        <c:scaling>
          <c:orientation val="minMax"/>
          <c:max val="240"/>
          <c:min val="75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 of year Planted</a:t>
                </a:r>
              </a:p>
            </c:rich>
          </c:tx>
        </c:title>
        <c:numFmt formatCode="m/d;@" sourceLinked="0"/>
        <c:minorTickMark val="in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8930560"/>
        <c:crosses val="autoZero"/>
        <c:crossBetween val="midCat"/>
        <c:majorUnit val="28"/>
        <c:minorUnit val="7"/>
      </c:valAx>
      <c:valAx>
        <c:axId val="108930560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 of year Harvested</a:t>
                </a:r>
              </a:p>
            </c:rich>
          </c:tx>
          <c:layout>
            <c:manualLayout>
              <c:xMode val="edge"/>
              <c:yMode val="edge"/>
              <c:x val="2.0056354316207708E-2"/>
              <c:y val="0.34622291246257536"/>
            </c:manualLayout>
          </c:layout>
        </c:title>
        <c:numFmt formatCode="General" sourceLinked="0"/>
        <c:minorTickMark val="in"/>
        <c:tickLblPos val="nextTo"/>
        <c:crossAx val="1051641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261049723756906"/>
          <c:y val="0.20663619936955116"/>
          <c:w val="0.3595303867403315"/>
          <c:h val="0.12609108534800001"/>
        </c:manualLayout>
      </c:layout>
      <c:spPr>
        <a:solidFill>
          <a:schemeClr val="bg1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txPr>
    <a:bodyPr/>
    <a:lstStyle/>
    <a:p>
      <a:pPr>
        <a:defRPr sz="1600"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sz="2400"/>
            </a:pPr>
            <a:r>
              <a:rPr lang="en-US" sz="2400" b="1" i="0" baseline="0"/>
              <a:t>Harvest Date Vs Seeding Date for Everest Broccoli, </a:t>
            </a:r>
            <a:endParaRPr lang="en-US" sz="2400"/>
          </a:p>
          <a:p>
            <a:pPr algn="ctr">
              <a:defRPr sz="2400"/>
            </a:pPr>
            <a:r>
              <a:rPr lang="en-US" sz="2400" b="1" i="0" baseline="0"/>
              <a:t>2011 and 2012 Comparison, Figure 5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2424109660171929"/>
          <c:y val="0.1259640520287077"/>
          <c:w val="0.83984957830812301"/>
          <c:h val="0.70848698602392646"/>
        </c:manualLayout>
      </c:layout>
      <c:scatterChart>
        <c:scatterStyle val="smoothMarker"/>
        <c:ser>
          <c:idx val="0"/>
          <c:order val="0"/>
          <c:tx>
            <c:strRef>
              <c:f>All!$AG$33</c:f>
              <c:strCache>
                <c:ptCount val="1"/>
                <c:pt idx="0">
                  <c:v>Day of year Harvested, 2012 average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All!$AG$34:$AG$76</c:f>
              <c:numCache>
                <c:formatCode>General</c:formatCode>
                <c:ptCount val="43"/>
                <c:pt idx="0">
                  <c:v>174.85714285714522</c:v>
                </c:pt>
                <c:pt idx="1">
                  <c:v>182.125</c:v>
                </c:pt>
                <c:pt idx="2">
                  <c:v>191.75</c:v>
                </c:pt>
                <c:pt idx="3">
                  <c:v>192.59999999999852</c:v>
                </c:pt>
                <c:pt idx="4">
                  <c:v>194.33333333333584</c:v>
                </c:pt>
                <c:pt idx="5">
                  <c:v>207.66666666666418</c:v>
                </c:pt>
                <c:pt idx="6">
                  <c:v>216</c:v>
                </c:pt>
                <c:pt idx="8">
                  <c:v>239</c:v>
                </c:pt>
                <c:pt idx="9">
                  <c:v>234</c:v>
                </c:pt>
                <c:pt idx="10">
                  <c:v>236.5</c:v>
                </c:pt>
                <c:pt idx="11">
                  <c:v>251.80000000000291</c:v>
                </c:pt>
                <c:pt idx="12">
                  <c:v>252.33333333333584</c:v>
                </c:pt>
                <c:pt idx="13">
                  <c:v>252.5</c:v>
                </c:pt>
                <c:pt idx="14">
                  <c:v>274.57142857142753</c:v>
                </c:pt>
                <c:pt idx="15">
                  <c:v>275.5</c:v>
                </c:pt>
                <c:pt idx="17">
                  <c:v>319</c:v>
                </c:pt>
                <c:pt idx="18">
                  <c:v>335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All!$AH$33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All!$AH$34:$AH$76</c:f>
              <c:numCache>
                <c:formatCode>General</c:formatCode>
                <c:ptCount val="43"/>
                <c:pt idx="0">
                  <c:v>34</c:v>
                </c:pt>
                <c:pt idx="1">
                  <c:v>19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17</c:v>
                </c:pt>
                <c:pt idx="6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  <c:pt idx="13">
                  <c:v>3</c:v>
                </c:pt>
                <c:pt idx="14">
                  <c:v>16</c:v>
                </c:pt>
                <c:pt idx="15">
                  <c:v>15</c:v>
                </c:pt>
                <c:pt idx="17">
                  <c:v>0</c:v>
                </c:pt>
                <c:pt idx="18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All!$AI$33</c:f>
              <c:strCache>
                <c:ptCount val="1"/>
                <c:pt idx="0">
                  <c:v>Day of year Harvested, 2011 average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All!$AI$34:$AI$76</c:f>
              <c:numCache>
                <c:formatCode>General</c:formatCode>
                <c:ptCount val="43"/>
                <c:pt idx="19">
                  <c:v>169.59999999999852</c:v>
                </c:pt>
                <c:pt idx="20">
                  <c:v>170.66666666666418</c:v>
                </c:pt>
                <c:pt idx="21">
                  <c:v>187.6875</c:v>
                </c:pt>
                <c:pt idx="22">
                  <c:v>190.21428571428231</c:v>
                </c:pt>
                <c:pt idx="23">
                  <c:v>197.33333333333584</c:v>
                </c:pt>
                <c:pt idx="24">
                  <c:v>202.40000000000146</c:v>
                </c:pt>
                <c:pt idx="25">
                  <c:v>208.5</c:v>
                </c:pt>
                <c:pt idx="26">
                  <c:v>212.55555555555475</c:v>
                </c:pt>
                <c:pt idx="27">
                  <c:v>228.5</c:v>
                </c:pt>
                <c:pt idx="28">
                  <c:v>229.66666666666418</c:v>
                </c:pt>
                <c:pt idx="29">
                  <c:v>235.33333333333584</c:v>
                </c:pt>
                <c:pt idx="30">
                  <c:v>242.59999999999852</c:v>
                </c:pt>
                <c:pt idx="31">
                  <c:v>250.33333333333584</c:v>
                </c:pt>
                <c:pt idx="32">
                  <c:v>262.59999999999854</c:v>
                </c:pt>
                <c:pt idx="33">
                  <c:v>268.5</c:v>
                </c:pt>
                <c:pt idx="34">
                  <c:v>289.40000000000146</c:v>
                </c:pt>
                <c:pt idx="35">
                  <c:v>334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All!$AJ$33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All!$AJ$34:$AJ$76</c:f>
              <c:numCache>
                <c:formatCode>General</c:formatCode>
                <c:ptCount val="43"/>
                <c:pt idx="19">
                  <c:v>33</c:v>
                </c:pt>
                <c:pt idx="20">
                  <c:v>12</c:v>
                </c:pt>
                <c:pt idx="21">
                  <c:v>17</c:v>
                </c:pt>
                <c:pt idx="22">
                  <c:v>18</c:v>
                </c:pt>
                <c:pt idx="23">
                  <c:v>16</c:v>
                </c:pt>
                <c:pt idx="24">
                  <c:v>14</c:v>
                </c:pt>
                <c:pt idx="25">
                  <c:v>16</c:v>
                </c:pt>
                <c:pt idx="26">
                  <c:v>17</c:v>
                </c:pt>
                <c:pt idx="27">
                  <c:v>6</c:v>
                </c:pt>
                <c:pt idx="28">
                  <c:v>8</c:v>
                </c:pt>
                <c:pt idx="29">
                  <c:v>10</c:v>
                </c:pt>
                <c:pt idx="30">
                  <c:v>12</c:v>
                </c:pt>
                <c:pt idx="31">
                  <c:v>11</c:v>
                </c:pt>
                <c:pt idx="32">
                  <c:v>13</c:v>
                </c:pt>
                <c:pt idx="33">
                  <c:v>11</c:v>
                </c:pt>
                <c:pt idx="34">
                  <c:v>18</c:v>
                </c:pt>
                <c:pt idx="35">
                  <c:v>0</c:v>
                </c:pt>
              </c:numCache>
            </c:numRef>
          </c:yVal>
          <c:smooth val="1"/>
        </c:ser>
        <c:axId val="125803520"/>
        <c:axId val="125834368"/>
      </c:scatterChart>
      <c:valAx>
        <c:axId val="125803520"/>
        <c:scaling>
          <c:orientation val="minMax"/>
          <c:max val="210"/>
          <c:min val="75"/>
        </c:scaling>
        <c:axPos val="b"/>
        <c:minorGridlines/>
        <c:title>
          <c:tx>
            <c:rich>
              <a:bodyPr/>
              <a:lstStyle/>
              <a:p>
                <a:pPr>
                  <a:defRPr sz="1600"/>
                </a:pPr>
                <a:r>
                  <a:rPr lang="en-US" sz="1600" b="1" i="0" baseline="0"/>
                  <a:t>Day of year Seeded</a:t>
                </a:r>
                <a:endParaRPr lang="en-US" sz="1600"/>
              </a:p>
            </c:rich>
          </c:tx>
        </c:title>
        <c:numFmt formatCode="m/d;@" sourceLinked="0"/>
        <c:tickLblPos val="nextTo"/>
        <c:txPr>
          <a:bodyPr rot="0" vert="horz"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834368"/>
        <c:crosses val="autoZero"/>
        <c:crossBetween val="midCat"/>
        <c:majorUnit val="28"/>
        <c:minorUnit val="7"/>
      </c:valAx>
      <c:valAx>
        <c:axId val="125834368"/>
        <c:scaling>
          <c:orientation val="minMax"/>
          <c:max val="365"/>
          <c:min val="153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 b="1" i="0" baseline="0"/>
                  <a:t>Average Day of year Harvested</a:t>
                </a:r>
              </a:p>
            </c:rich>
          </c:tx>
        </c:title>
        <c:numFmt formatCode="m/d;@" sourceLinked="0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25803520"/>
        <c:crosses val="autoZero"/>
        <c:crossBetween val="midCat"/>
        <c:majorUnit val="28"/>
        <c:minorUnit val="7"/>
      </c:valAx>
    </c:plotArea>
    <c:legend>
      <c:legendPos val="r"/>
      <c:layout>
        <c:manualLayout>
          <c:xMode val="edge"/>
          <c:yMode val="edge"/>
          <c:x val="0.13276608792747352"/>
          <c:y val="0.26235617982985215"/>
          <c:w val="0.35734296805845667"/>
          <c:h val="0.23047893661179691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sz="2400"/>
            </a:pPr>
            <a:r>
              <a:rPr lang="en-US" sz="2400" b="1" i="0" baseline="0"/>
              <a:t>Harvest window VS Seeding Date for Everest Broccoli, </a:t>
            </a:r>
            <a:endParaRPr lang="en-US" sz="2400"/>
          </a:p>
          <a:p>
            <a:pPr algn="ctr">
              <a:defRPr sz="2400"/>
            </a:pPr>
            <a:r>
              <a:rPr lang="en-US" sz="2400" b="1" i="0" baseline="0"/>
              <a:t>2011 and 2012 Comparison, Figure 6</a:t>
            </a:r>
          </a:p>
        </c:rich>
      </c:tx>
      <c:overlay val="1"/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0.12424109660171929"/>
          <c:y val="0.1259640520287077"/>
          <c:w val="0.83984957830812346"/>
          <c:h val="0.75566908303128832"/>
        </c:manualLayout>
      </c:layout>
      <c:scatterChart>
        <c:scatterStyle val="smoothMarker"/>
        <c:ser>
          <c:idx val="1"/>
          <c:order val="0"/>
          <c:tx>
            <c:strRef>
              <c:f>All!$AH$33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All!$AH$34:$AH$76</c:f>
              <c:numCache>
                <c:formatCode>General</c:formatCode>
                <c:ptCount val="43"/>
                <c:pt idx="0">
                  <c:v>34</c:v>
                </c:pt>
                <c:pt idx="1">
                  <c:v>19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17</c:v>
                </c:pt>
                <c:pt idx="6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  <c:pt idx="13">
                  <c:v>3</c:v>
                </c:pt>
                <c:pt idx="14">
                  <c:v>16</c:v>
                </c:pt>
                <c:pt idx="15">
                  <c:v>15</c:v>
                </c:pt>
                <c:pt idx="17">
                  <c:v>0</c:v>
                </c:pt>
                <c:pt idx="18">
                  <c:v>0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All!$AJ$33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All!$AJ$34:$AJ$76</c:f>
              <c:numCache>
                <c:formatCode>General</c:formatCode>
                <c:ptCount val="43"/>
                <c:pt idx="19">
                  <c:v>33</c:v>
                </c:pt>
                <c:pt idx="20">
                  <c:v>12</c:v>
                </c:pt>
                <c:pt idx="21">
                  <c:v>17</c:v>
                </c:pt>
                <c:pt idx="22">
                  <c:v>18</c:v>
                </c:pt>
                <c:pt idx="23">
                  <c:v>16</c:v>
                </c:pt>
                <c:pt idx="24">
                  <c:v>14</c:v>
                </c:pt>
                <c:pt idx="25">
                  <c:v>16</c:v>
                </c:pt>
                <c:pt idx="26">
                  <c:v>17</c:v>
                </c:pt>
                <c:pt idx="27">
                  <c:v>6</c:v>
                </c:pt>
                <c:pt idx="28">
                  <c:v>8</c:v>
                </c:pt>
                <c:pt idx="29">
                  <c:v>10</c:v>
                </c:pt>
                <c:pt idx="30">
                  <c:v>12</c:v>
                </c:pt>
                <c:pt idx="31">
                  <c:v>11</c:v>
                </c:pt>
                <c:pt idx="32">
                  <c:v>13</c:v>
                </c:pt>
                <c:pt idx="33">
                  <c:v>11</c:v>
                </c:pt>
                <c:pt idx="34">
                  <c:v>18</c:v>
                </c:pt>
                <c:pt idx="35">
                  <c:v>0</c:v>
                </c:pt>
              </c:numCache>
            </c:numRef>
          </c:yVal>
          <c:smooth val="1"/>
        </c:ser>
        <c:axId val="125865344"/>
        <c:axId val="125875712"/>
      </c:scatterChart>
      <c:valAx>
        <c:axId val="125865344"/>
        <c:scaling>
          <c:orientation val="minMax"/>
          <c:max val="210"/>
          <c:min val="75"/>
        </c:scaling>
        <c:axPos val="b"/>
        <c:minorGridlines/>
        <c:title>
          <c:tx>
            <c:rich>
              <a:bodyPr/>
              <a:lstStyle/>
              <a:p>
                <a:pPr>
                  <a:defRPr sz="1600"/>
                </a:pPr>
                <a:r>
                  <a:rPr lang="en-US" sz="1600" b="1" i="0" baseline="0"/>
                  <a:t>Day of year Seeded</a:t>
                </a:r>
                <a:endParaRPr lang="en-US" sz="1600"/>
              </a:p>
            </c:rich>
          </c:tx>
        </c:title>
        <c:numFmt formatCode="m/d;@" sourceLinked="0"/>
        <c:tickLblPos val="nextTo"/>
        <c:txPr>
          <a:bodyPr rot="0" vert="horz"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875712"/>
        <c:crosses val="autoZero"/>
        <c:crossBetween val="midCat"/>
        <c:majorUnit val="28"/>
        <c:minorUnit val="7"/>
      </c:valAx>
      <c:valAx>
        <c:axId val="125875712"/>
        <c:scaling>
          <c:orientation val="minMax"/>
          <c:min val="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 b="1" i="0" baseline="0"/>
                  <a:t>Average Day of year Harvested</a:t>
                </a:r>
              </a:p>
            </c:rich>
          </c:tx>
        </c:title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2586534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36906061573384508"/>
          <c:y val="0.17125931441668391"/>
          <c:w val="0.41906230048946636"/>
          <c:h val="0.23047893661179691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sz="2000"/>
            </a:pPr>
            <a:r>
              <a:rPr lang="en-US" sz="1800" b="1" i="0" baseline="0"/>
              <a:t>Harvest Date Vs Seeding Date for Mystique Corn, </a:t>
            </a:r>
          </a:p>
          <a:p>
            <a:pPr algn="ctr">
              <a:defRPr sz="2000"/>
            </a:pPr>
            <a:r>
              <a:rPr lang="en-US" sz="1800" b="1" i="0" baseline="0"/>
              <a:t>2011 and 2012 Comparison, Figure 7</a:t>
            </a:r>
            <a:endParaRPr lang="en-US" sz="2000"/>
          </a:p>
        </c:rich>
      </c:tx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0.11836166507224001"/>
          <c:y val="0.12540664559787179"/>
          <c:w val="0.84910006868300458"/>
          <c:h val="0.71523845233631544"/>
        </c:manualLayout>
      </c:layout>
      <c:scatterChart>
        <c:scatterStyle val="smoothMarker"/>
        <c:ser>
          <c:idx val="0"/>
          <c:order val="0"/>
          <c:tx>
            <c:strRef>
              <c:f>All!$AL$2</c:f>
              <c:strCache>
                <c:ptCount val="1"/>
                <c:pt idx="0">
                  <c:v>Day of year Harvested, 2012 average</c:v>
                </c:pt>
              </c:strCache>
            </c:strRef>
          </c:tx>
          <c:xVal>
            <c:numRef>
              <c:f>All!$AK$3:$AK$28</c:f>
              <c:numCache>
                <c:formatCode>General</c:formatCode>
                <c:ptCount val="26"/>
                <c:pt idx="0">
                  <c:v>88</c:v>
                </c:pt>
                <c:pt idx="1">
                  <c:v>95</c:v>
                </c:pt>
                <c:pt idx="2">
                  <c:v>109</c:v>
                </c:pt>
                <c:pt idx="3">
                  <c:v>114</c:v>
                </c:pt>
                <c:pt idx="4">
                  <c:v>121</c:v>
                </c:pt>
                <c:pt idx="5">
                  <c:v>129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176</c:v>
                </c:pt>
                <c:pt idx="12">
                  <c:v>184</c:v>
                </c:pt>
                <c:pt idx="13">
                  <c:v>93</c:v>
                </c:pt>
                <c:pt idx="14">
                  <c:v>102</c:v>
                </c:pt>
                <c:pt idx="15">
                  <c:v>110</c:v>
                </c:pt>
                <c:pt idx="16">
                  <c:v>118</c:v>
                </c:pt>
                <c:pt idx="17">
                  <c:v>125</c:v>
                </c:pt>
                <c:pt idx="18">
                  <c:v>131</c:v>
                </c:pt>
                <c:pt idx="19">
                  <c:v>139</c:v>
                </c:pt>
                <c:pt idx="20">
                  <c:v>146</c:v>
                </c:pt>
                <c:pt idx="21">
                  <c:v>153</c:v>
                </c:pt>
                <c:pt idx="22">
                  <c:v>160</c:v>
                </c:pt>
                <c:pt idx="23">
                  <c:v>167</c:v>
                </c:pt>
                <c:pt idx="24">
                  <c:v>174</c:v>
                </c:pt>
                <c:pt idx="25">
                  <c:v>181</c:v>
                </c:pt>
              </c:numCache>
            </c:numRef>
          </c:xVal>
          <c:yVal>
            <c:numRef>
              <c:f>All!$AL$3:$AL$28</c:f>
              <c:numCache>
                <c:formatCode>General</c:formatCode>
                <c:ptCount val="26"/>
                <c:pt idx="2">
                  <c:v>208.66666666666418</c:v>
                </c:pt>
                <c:pt idx="3">
                  <c:v>210</c:v>
                </c:pt>
                <c:pt idx="4">
                  <c:v>212</c:v>
                </c:pt>
                <c:pt idx="5">
                  <c:v>213.5</c:v>
                </c:pt>
                <c:pt idx="6">
                  <c:v>219.16666666666418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All!$AM$2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All!$AK$3:$AK$28</c:f>
              <c:numCache>
                <c:formatCode>General</c:formatCode>
                <c:ptCount val="26"/>
                <c:pt idx="0">
                  <c:v>88</c:v>
                </c:pt>
                <c:pt idx="1">
                  <c:v>95</c:v>
                </c:pt>
                <c:pt idx="2">
                  <c:v>109</c:v>
                </c:pt>
                <c:pt idx="3">
                  <c:v>114</c:v>
                </c:pt>
                <c:pt idx="4">
                  <c:v>121</c:v>
                </c:pt>
                <c:pt idx="5">
                  <c:v>129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176</c:v>
                </c:pt>
                <c:pt idx="12">
                  <c:v>184</c:v>
                </c:pt>
                <c:pt idx="13">
                  <c:v>93</c:v>
                </c:pt>
                <c:pt idx="14">
                  <c:v>102</c:v>
                </c:pt>
                <c:pt idx="15">
                  <c:v>110</c:v>
                </c:pt>
                <c:pt idx="16">
                  <c:v>118</c:v>
                </c:pt>
                <c:pt idx="17">
                  <c:v>125</c:v>
                </c:pt>
                <c:pt idx="18">
                  <c:v>131</c:v>
                </c:pt>
                <c:pt idx="19">
                  <c:v>139</c:v>
                </c:pt>
                <c:pt idx="20">
                  <c:v>146</c:v>
                </c:pt>
                <c:pt idx="21">
                  <c:v>153</c:v>
                </c:pt>
                <c:pt idx="22">
                  <c:v>160</c:v>
                </c:pt>
                <c:pt idx="23">
                  <c:v>167</c:v>
                </c:pt>
                <c:pt idx="24">
                  <c:v>174</c:v>
                </c:pt>
                <c:pt idx="25">
                  <c:v>181</c:v>
                </c:pt>
              </c:numCache>
            </c:numRef>
          </c:xVal>
          <c:yVal>
            <c:numRef>
              <c:f>All!$AM$3:$AM$28</c:f>
              <c:numCache>
                <c:formatCode>General</c:formatCode>
                <c:ptCount val="26"/>
                <c:pt idx="2">
                  <c:v>7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10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All!$AN$2</c:f>
              <c:strCache>
                <c:ptCount val="1"/>
                <c:pt idx="0">
                  <c:v>Day of year Harvested, 2011 average</c:v>
                </c:pt>
              </c:strCache>
            </c:strRef>
          </c:tx>
          <c:xVal>
            <c:numRef>
              <c:f>All!$AK$3:$AK$28</c:f>
              <c:numCache>
                <c:formatCode>General</c:formatCode>
                <c:ptCount val="26"/>
                <c:pt idx="0">
                  <c:v>88</c:v>
                </c:pt>
                <c:pt idx="1">
                  <c:v>95</c:v>
                </c:pt>
                <c:pt idx="2">
                  <c:v>109</c:v>
                </c:pt>
                <c:pt idx="3">
                  <c:v>114</c:v>
                </c:pt>
                <c:pt idx="4">
                  <c:v>121</c:v>
                </c:pt>
                <c:pt idx="5">
                  <c:v>129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176</c:v>
                </c:pt>
                <c:pt idx="12">
                  <c:v>184</c:v>
                </c:pt>
                <c:pt idx="13">
                  <c:v>93</c:v>
                </c:pt>
                <c:pt idx="14">
                  <c:v>102</c:v>
                </c:pt>
                <c:pt idx="15">
                  <c:v>110</c:v>
                </c:pt>
                <c:pt idx="16">
                  <c:v>118</c:v>
                </c:pt>
                <c:pt idx="17">
                  <c:v>125</c:v>
                </c:pt>
                <c:pt idx="18">
                  <c:v>131</c:v>
                </c:pt>
                <c:pt idx="19">
                  <c:v>139</c:v>
                </c:pt>
                <c:pt idx="20">
                  <c:v>146</c:v>
                </c:pt>
                <c:pt idx="21">
                  <c:v>153</c:v>
                </c:pt>
                <c:pt idx="22">
                  <c:v>160</c:v>
                </c:pt>
                <c:pt idx="23">
                  <c:v>167</c:v>
                </c:pt>
                <c:pt idx="24">
                  <c:v>174</c:v>
                </c:pt>
                <c:pt idx="25">
                  <c:v>181</c:v>
                </c:pt>
              </c:numCache>
            </c:numRef>
          </c:xVal>
          <c:yVal>
            <c:numRef>
              <c:f>All!$AN$3:$AN$28</c:f>
              <c:numCache>
                <c:formatCode>General</c:formatCode>
                <c:ptCount val="26"/>
                <c:pt idx="13">
                  <c:v>193.5</c:v>
                </c:pt>
                <c:pt idx="14">
                  <c:v>202.66666666666418</c:v>
                </c:pt>
                <c:pt idx="15">
                  <c:v>207.33333333333584</c:v>
                </c:pt>
                <c:pt idx="16">
                  <c:v>211.80000000000291</c:v>
                </c:pt>
                <c:pt idx="17">
                  <c:v>212.28571428571738</c:v>
                </c:pt>
                <c:pt idx="18">
                  <c:v>221</c:v>
                </c:pt>
                <c:pt idx="19">
                  <c:v>223.33333333333584</c:v>
                </c:pt>
                <c:pt idx="20">
                  <c:v>226</c:v>
                </c:pt>
                <c:pt idx="21">
                  <c:v>235</c:v>
                </c:pt>
                <c:pt idx="22">
                  <c:v>242.66666666666418</c:v>
                </c:pt>
                <c:pt idx="23">
                  <c:v>252.42857142857238</c:v>
                </c:pt>
                <c:pt idx="24">
                  <c:v>254.40000000000146</c:v>
                </c:pt>
                <c:pt idx="25">
                  <c:v>259.5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All!$AO$2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All!$AK$3:$AK$28</c:f>
              <c:numCache>
                <c:formatCode>General</c:formatCode>
                <c:ptCount val="26"/>
                <c:pt idx="0">
                  <c:v>88</c:v>
                </c:pt>
                <c:pt idx="1">
                  <c:v>95</c:v>
                </c:pt>
                <c:pt idx="2">
                  <c:v>109</c:v>
                </c:pt>
                <c:pt idx="3">
                  <c:v>114</c:v>
                </c:pt>
                <c:pt idx="4">
                  <c:v>121</c:v>
                </c:pt>
                <c:pt idx="5">
                  <c:v>129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176</c:v>
                </c:pt>
                <c:pt idx="12">
                  <c:v>184</c:v>
                </c:pt>
                <c:pt idx="13">
                  <c:v>93</c:v>
                </c:pt>
                <c:pt idx="14">
                  <c:v>102</c:v>
                </c:pt>
                <c:pt idx="15">
                  <c:v>110</c:v>
                </c:pt>
                <c:pt idx="16">
                  <c:v>118</c:v>
                </c:pt>
                <c:pt idx="17">
                  <c:v>125</c:v>
                </c:pt>
                <c:pt idx="18">
                  <c:v>131</c:v>
                </c:pt>
                <c:pt idx="19">
                  <c:v>139</c:v>
                </c:pt>
                <c:pt idx="20">
                  <c:v>146</c:v>
                </c:pt>
                <c:pt idx="21">
                  <c:v>153</c:v>
                </c:pt>
                <c:pt idx="22">
                  <c:v>160</c:v>
                </c:pt>
                <c:pt idx="23">
                  <c:v>167</c:v>
                </c:pt>
                <c:pt idx="24">
                  <c:v>174</c:v>
                </c:pt>
                <c:pt idx="25">
                  <c:v>181</c:v>
                </c:pt>
              </c:numCache>
            </c:numRef>
          </c:xVal>
          <c:yVal>
            <c:numRef>
              <c:f>All!$AO$3:$AO$28</c:f>
              <c:numCache>
                <c:formatCode>General</c:formatCode>
                <c:ptCount val="26"/>
                <c:pt idx="13">
                  <c:v>3</c:v>
                </c:pt>
                <c:pt idx="14">
                  <c:v>7</c:v>
                </c:pt>
                <c:pt idx="15">
                  <c:v>12</c:v>
                </c:pt>
                <c:pt idx="16">
                  <c:v>9</c:v>
                </c:pt>
                <c:pt idx="17">
                  <c:v>9</c:v>
                </c:pt>
                <c:pt idx="18">
                  <c:v>14</c:v>
                </c:pt>
                <c:pt idx="19">
                  <c:v>7</c:v>
                </c:pt>
                <c:pt idx="20">
                  <c:v>7</c:v>
                </c:pt>
                <c:pt idx="21">
                  <c:v>4</c:v>
                </c:pt>
                <c:pt idx="22">
                  <c:v>3</c:v>
                </c:pt>
                <c:pt idx="23">
                  <c:v>9</c:v>
                </c:pt>
                <c:pt idx="24">
                  <c:v>7</c:v>
                </c:pt>
                <c:pt idx="25">
                  <c:v>5</c:v>
                </c:pt>
              </c:numCache>
            </c:numRef>
          </c:yVal>
          <c:smooth val="1"/>
        </c:ser>
        <c:axId val="125915136"/>
        <c:axId val="125917056"/>
      </c:scatterChart>
      <c:valAx>
        <c:axId val="125915136"/>
        <c:scaling>
          <c:orientation val="minMax"/>
          <c:min val="85"/>
        </c:scaling>
        <c:axPos val="b"/>
        <c:minorGridlines/>
        <c:title>
          <c:tx>
            <c:rich>
              <a:bodyPr/>
              <a:lstStyle/>
              <a:p>
                <a:pPr>
                  <a:defRPr sz="2000"/>
                </a:pPr>
                <a:r>
                  <a:rPr lang="en-US" sz="1600" b="1" i="0" baseline="0"/>
                  <a:t>Day</a:t>
                </a:r>
                <a:r>
                  <a:rPr lang="en-US" sz="1800" b="1" i="0" baseline="0"/>
                  <a:t> of year Seeded</a:t>
                </a:r>
                <a:endParaRPr lang="en-US" sz="1800"/>
              </a:p>
            </c:rich>
          </c:tx>
          <c:layout>
            <c:manualLayout>
              <c:xMode val="edge"/>
              <c:yMode val="edge"/>
              <c:x val="0.3636979271821793"/>
              <c:y val="0.91565028339562604"/>
            </c:manualLayout>
          </c:layout>
        </c:title>
        <c:numFmt formatCode="m/d;@" sourceLinked="0"/>
        <c:tickLblPos val="nextTo"/>
        <c:txPr>
          <a:bodyPr rot="0" vert="horz"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917056"/>
        <c:crosses val="autoZero"/>
        <c:crossBetween val="midCat"/>
        <c:majorUnit val="28"/>
        <c:minorUnit val="7"/>
      </c:valAx>
      <c:valAx>
        <c:axId val="125917056"/>
        <c:scaling>
          <c:orientation val="minMax"/>
          <c:min val="185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 b="1" i="0" baseline="0"/>
                  <a:t>Average Day of year Harvested</a:t>
                </a:r>
                <a:endParaRPr lang="en-US" sz="1600"/>
              </a:p>
            </c:rich>
          </c:tx>
        </c:title>
        <c:numFmt formatCode="m/d;@" sourceLinked="0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25915136"/>
        <c:crosses val="autoZero"/>
        <c:crossBetween val="midCat"/>
        <c:majorUnit val="28"/>
        <c:minorUnit val="7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4023883696780923"/>
          <c:y val="0.15296672985321291"/>
          <c:w val="0.37464516454673924"/>
          <c:h val="0.15580207421988918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sz="2000"/>
            </a:pPr>
            <a:r>
              <a:rPr lang="en-US" sz="1800" b="1" i="0" baseline="0"/>
              <a:t>Harvest Window Vs Seeding Date for Mystique Corn, </a:t>
            </a:r>
          </a:p>
          <a:p>
            <a:pPr algn="ctr">
              <a:defRPr sz="2000"/>
            </a:pPr>
            <a:r>
              <a:rPr lang="en-US" sz="1800" b="1" i="0" baseline="0"/>
              <a:t>2011 and 2012 Comparison, Figure 8</a:t>
            </a:r>
            <a:endParaRPr lang="en-US" sz="2000"/>
          </a:p>
        </c:rich>
      </c:tx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0.11836166507224002"/>
          <c:y val="0.10273092525668372"/>
          <c:w val="0.84910006868300492"/>
          <c:h val="0.78099810329560004"/>
        </c:manualLayout>
      </c:layout>
      <c:scatterChart>
        <c:scatterStyle val="smoothMarker"/>
        <c:ser>
          <c:idx val="1"/>
          <c:order val="0"/>
          <c:tx>
            <c:strRef>
              <c:f>All!$AM$2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All!$AK$3:$AK$28</c:f>
              <c:numCache>
                <c:formatCode>General</c:formatCode>
                <c:ptCount val="26"/>
                <c:pt idx="0">
                  <c:v>88</c:v>
                </c:pt>
                <c:pt idx="1">
                  <c:v>95</c:v>
                </c:pt>
                <c:pt idx="2">
                  <c:v>109</c:v>
                </c:pt>
                <c:pt idx="3">
                  <c:v>114</c:v>
                </c:pt>
                <c:pt idx="4">
                  <c:v>121</c:v>
                </c:pt>
                <c:pt idx="5">
                  <c:v>129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176</c:v>
                </c:pt>
                <c:pt idx="12">
                  <c:v>184</c:v>
                </c:pt>
                <c:pt idx="13">
                  <c:v>93</c:v>
                </c:pt>
                <c:pt idx="14">
                  <c:v>102</c:v>
                </c:pt>
                <c:pt idx="15">
                  <c:v>110</c:v>
                </c:pt>
                <c:pt idx="16">
                  <c:v>118</c:v>
                </c:pt>
                <c:pt idx="17">
                  <c:v>125</c:v>
                </c:pt>
                <c:pt idx="18">
                  <c:v>131</c:v>
                </c:pt>
                <c:pt idx="19">
                  <c:v>139</c:v>
                </c:pt>
                <c:pt idx="20">
                  <c:v>146</c:v>
                </c:pt>
                <c:pt idx="21">
                  <c:v>153</c:v>
                </c:pt>
                <c:pt idx="22">
                  <c:v>160</c:v>
                </c:pt>
                <c:pt idx="23">
                  <c:v>167</c:v>
                </c:pt>
                <c:pt idx="24">
                  <c:v>174</c:v>
                </c:pt>
                <c:pt idx="25">
                  <c:v>181</c:v>
                </c:pt>
              </c:numCache>
            </c:numRef>
          </c:xVal>
          <c:yVal>
            <c:numRef>
              <c:f>All!$AM$3:$AM$28</c:f>
              <c:numCache>
                <c:formatCode>General</c:formatCode>
                <c:ptCount val="26"/>
                <c:pt idx="2">
                  <c:v>7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10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All!$AO$2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All!$AK$3:$AK$28</c:f>
              <c:numCache>
                <c:formatCode>General</c:formatCode>
                <c:ptCount val="26"/>
                <c:pt idx="0">
                  <c:v>88</c:v>
                </c:pt>
                <c:pt idx="1">
                  <c:v>95</c:v>
                </c:pt>
                <c:pt idx="2">
                  <c:v>109</c:v>
                </c:pt>
                <c:pt idx="3">
                  <c:v>114</c:v>
                </c:pt>
                <c:pt idx="4">
                  <c:v>121</c:v>
                </c:pt>
                <c:pt idx="5">
                  <c:v>129</c:v>
                </c:pt>
                <c:pt idx="6">
                  <c:v>135</c:v>
                </c:pt>
                <c:pt idx="7">
                  <c:v>146</c:v>
                </c:pt>
                <c:pt idx="8">
                  <c:v>155</c:v>
                </c:pt>
                <c:pt idx="9">
                  <c:v>159</c:v>
                </c:pt>
                <c:pt idx="10">
                  <c:v>166</c:v>
                </c:pt>
                <c:pt idx="11">
                  <c:v>176</c:v>
                </c:pt>
                <c:pt idx="12">
                  <c:v>184</c:v>
                </c:pt>
                <c:pt idx="13">
                  <c:v>93</c:v>
                </c:pt>
                <c:pt idx="14">
                  <c:v>102</c:v>
                </c:pt>
                <c:pt idx="15">
                  <c:v>110</c:v>
                </c:pt>
                <c:pt idx="16">
                  <c:v>118</c:v>
                </c:pt>
                <c:pt idx="17">
                  <c:v>125</c:v>
                </c:pt>
                <c:pt idx="18">
                  <c:v>131</c:v>
                </c:pt>
                <c:pt idx="19">
                  <c:v>139</c:v>
                </c:pt>
                <c:pt idx="20">
                  <c:v>146</c:v>
                </c:pt>
                <c:pt idx="21">
                  <c:v>153</c:v>
                </c:pt>
                <c:pt idx="22">
                  <c:v>160</c:v>
                </c:pt>
                <c:pt idx="23">
                  <c:v>167</c:v>
                </c:pt>
                <c:pt idx="24">
                  <c:v>174</c:v>
                </c:pt>
                <c:pt idx="25">
                  <c:v>181</c:v>
                </c:pt>
              </c:numCache>
            </c:numRef>
          </c:xVal>
          <c:yVal>
            <c:numRef>
              <c:f>All!$AO$3:$AO$28</c:f>
              <c:numCache>
                <c:formatCode>General</c:formatCode>
                <c:ptCount val="26"/>
                <c:pt idx="13">
                  <c:v>3</c:v>
                </c:pt>
                <c:pt idx="14">
                  <c:v>7</c:v>
                </c:pt>
                <c:pt idx="15">
                  <c:v>12</c:v>
                </c:pt>
                <c:pt idx="16">
                  <c:v>9</c:v>
                </c:pt>
                <c:pt idx="17">
                  <c:v>9</c:v>
                </c:pt>
                <c:pt idx="18">
                  <c:v>14</c:v>
                </c:pt>
                <c:pt idx="19">
                  <c:v>7</c:v>
                </c:pt>
                <c:pt idx="20">
                  <c:v>7</c:v>
                </c:pt>
                <c:pt idx="21">
                  <c:v>4</c:v>
                </c:pt>
                <c:pt idx="22">
                  <c:v>3</c:v>
                </c:pt>
                <c:pt idx="23">
                  <c:v>9</c:v>
                </c:pt>
                <c:pt idx="24">
                  <c:v>7</c:v>
                </c:pt>
                <c:pt idx="25">
                  <c:v>5</c:v>
                </c:pt>
              </c:numCache>
            </c:numRef>
          </c:yVal>
          <c:smooth val="1"/>
        </c:ser>
        <c:axId val="125963264"/>
        <c:axId val="125977728"/>
      </c:scatterChart>
      <c:valAx>
        <c:axId val="125963264"/>
        <c:scaling>
          <c:orientation val="minMax"/>
          <c:min val="85"/>
        </c:scaling>
        <c:axPos val="b"/>
        <c:minorGridlines/>
        <c:title>
          <c:tx>
            <c:rich>
              <a:bodyPr/>
              <a:lstStyle/>
              <a:p>
                <a:pPr>
                  <a:defRPr sz="1600"/>
                </a:pPr>
                <a:r>
                  <a:rPr lang="en-US" sz="1600" b="1" i="0" baseline="0"/>
                  <a:t>Day of year Seeded</a:t>
                </a:r>
                <a:endParaRPr lang="en-US" sz="1600"/>
              </a:p>
            </c:rich>
          </c:tx>
        </c:title>
        <c:numFmt formatCode="m/d;@" sourceLinked="0"/>
        <c:tickLblPos val="nextTo"/>
        <c:txPr>
          <a:bodyPr rot="0" vert="horz"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977728"/>
        <c:crosses val="autoZero"/>
        <c:crossBetween val="midCat"/>
        <c:majorUnit val="28"/>
        <c:minorUnit val="7"/>
      </c:valAx>
      <c:valAx>
        <c:axId val="125977728"/>
        <c:scaling>
          <c:orientation val="minMax"/>
          <c:min val="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 b="1" i="0" baseline="0"/>
                  <a:t>Harvest Window, Days</a:t>
                </a:r>
                <a:endParaRPr lang="en-US" sz="1600"/>
              </a:p>
            </c:rich>
          </c:tx>
        </c:title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25963264"/>
        <c:crosses val="autoZero"/>
        <c:crossBetween val="midCat"/>
        <c:majorUnit val="7"/>
        <c:minorUnit val="1"/>
      </c:valAx>
    </c:plotArea>
    <c:legend>
      <c:legendPos val="r"/>
      <c:layout>
        <c:manualLayout>
          <c:xMode val="edge"/>
          <c:yMode val="edge"/>
          <c:x val="0.12939531597011911"/>
          <c:y val="0.22315561211303717"/>
          <c:w val="0.26994423594247036"/>
          <c:h val="0.16549167677891466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5</cp:revision>
  <dcterms:created xsi:type="dcterms:W3CDTF">2013-01-07T15:25:00Z</dcterms:created>
  <dcterms:modified xsi:type="dcterms:W3CDTF">2013-01-08T16:23:00Z</dcterms:modified>
</cp:coreProperties>
</file>