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2B" w:rsidRDefault="0050292B" w:rsidP="0050292B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F39BA">
        <w:rPr>
          <w:rFonts w:ascii="Times New Roman" w:hAnsi="Times New Roman"/>
          <w:sz w:val="24"/>
          <w:szCs w:val="24"/>
        </w:rPr>
        <w:t>Table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5CD8">
        <w:rPr>
          <w:rFonts w:ascii="Times New Roman" w:hAnsi="Times New Roman"/>
          <w:sz w:val="24"/>
          <w:szCs w:val="24"/>
        </w:rPr>
        <w:t xml:space="preserve">ANOVA results </w:t>
      </w:r>
      <w:r>
        <w:rPr>
          <w:rFonts w:ascii="Times New Roman" w:hAnsi="Times New Roman"/>
          <w:sz w:val="24"/>
          <w:szCs w:val="24"/>
        </w:rPr>
        <w:t xml:space="preserve">(P-values) </w:t>
      </w:r>
      <w:r w:rsidRPr="009F5CD8">
        <w:rPr>
          <w:rFonts w:ascii="Times New Roman" w:hAnsi="Times New Roman"/>
          <w:sz w:val="24"/>
          <w:szCs w:val="24"/>
        </w:rPr>
        <w:t>for Canada thistle</w:t>
      </w:r>
      <w:r w:rsidRPr="006F3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main stem shoot </w:t>
      </w:r>
      <w:r w:rsidRPr="006F39BA">
        <w:rPr>
          <w:rFonts w:ascii="Times New Roman" w:hAnsi="Times New Roman"/>
          <w:sz w:val="24"/>
          <w:szCs w:val="24"/>
        </w:rPr>
        <w:t>hei</w:t>
      </w:r>
      <w:r>
        <w:rPr>
          <w:rFonts w:ascii="Times New Roman" w:hAnsi="Times New Roman"/>
          <w:sz w:val="24"/>
          <w:szCs w:val="24"/>
        </w:rPr>
        <w:t>ght,</w:t>
      </w:r>
      <w:r w:rsidRPr="006F3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 stem biomass,  flower</w:t>
      </w:r>
      <w:r w:rsidRPr="006F39BA">
        <w:rPr>
          <w:rFonts w:ascii="Times New Roman" w:hAnsi="Times New Roman"/>
          <w:sz w:val="24"/>
          <w:szCs w:val="24"/>
        </w:rPr>
        <w:t xml:space="preserve"> number, side shoot number</w:t>
      </w:r>
      <w:r>
        <w:rPr>
          <w:rFonts w:ascii="Times New Roman" w:hAnsi="Times New Roman"/>
          <w:sz w:val="24"/>
          <w:szCs w:val="24"/>
        </w:rPr>
        <w:t>, and root biomass</w:t>
      </w:r>
      <w:r w:rsidRPr="006F3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affected by</w:t>
      </w:r>
      <w:r w:rsidRPr="006F3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9BA">
        <w:rPr>
          <w:rFonts w:ascii="Times New Roman" w:hAnsi="Times New Roman"/>
          <w:i/>
          <w:sz w:val="24"/>
          <w:szCs w:val="24"/>
        </w:rPr>
        <w:t>Hadroplontus</w:t>
      </w:r>
      <w:proofErr w:type="spellEnd"/>
      <w:r w:rsidRPr="006F39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39BA">
        <w:rPr>
          <w:rFonts w:ascii="Times New Roman" w:hAnsi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weevils, common sunflower presence, soil nutrient levels, and their interactions</w:t>
      </w:r>
      <w:r w:rsidRPr="006F39BA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596"/>
        <w:gridCol w:w="1595"/>
        <w:gridCol w:w="1595"/>
        <w:gridCol w:w="1597"/>
        <w:gridCol w:w="1595"/>
      </w:tblGrid>
      <w:tr w:rsidR="0050292B" w:rsidRPr="008B4471" w:rsidTr="00F65CB1">
        <w:trPr>
          <w:trHeight w:val="315"/>
        </w:trPr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292B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Canada thistle responses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292B" w:rsidRPr="008B4471" w:rsidTr="00F65CB1">
        <w:trPr>
          <w:trHeight w:val="315"/>
        </w:trPr>
        <w:tc>
          <w:tcPr>
            <w:tcW w:w="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Main stem shoot h</w:t>
            </w:r>
            <w:r w:rsidRPr="008B4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eight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Main stem shoot biomass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Flower</w:t>
            </w:r>
            <w:r w:rsidRPr="008B4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number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vAlign w:val="bottom"/>
          </w:tcPr>
          <w:p w:rsidR="0050292B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8B4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 shoot number</w:t>
            </w:r>
          </w:p>
        </w:tc>
        <w:tc>
          <w:tcPr>
            <w:tcW w:w="833" w:type="pct"/>
            <w:tcBorders>
              <w:left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292B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Root biomass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E1124" w:rsidRDefault="0050292B" w:rsidP="00F65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</w:t>
            </w:r>
            <w:r w:rsidRPr="008B4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</w:t>
            </w:r>
            <w:r w:rsidRPr="009C14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 x CS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 x SN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 x SN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  <w:tr w:rsidR="0050292B" w:rsidRPr="008B4471" w:rsidTr="00F65CB1">
        <w:trPr>
          <w:trHeight w:val="317"/>
        </w:trPr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292B" w:rsidRDefault="0050292B" w:rsidP="00F65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 x CS x SN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292B" w:rsidRPr="008B4471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2B" w:rsidRPr="009C14D3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2B" w:rsidRDefault="0050292B" w:rsidP="00F6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NS</w:t>
            </w:r>
          </w:p>
        </w:tc>
      </w:tr>
    </w:tbl>
    <w:p w:rsidR="0050292B" w:rsidRPr="009B57C0" w:rsidRDefault="0050292B" w:rsidP="0050292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9B57C0">
        <w:rPr>
          <w:rFonts w:ascii="Times New Roman" w:hAnsi="Times New Roman"/>
          <w:sz w:val="20"/>
          <w:szCs w:val="20"/>
          <w:vertAlign w:val="superscript"/>
        </w:rPr>
        <w:t>a</w:t>
      </w:r>
      <w:proofErr w:type="gramEnd"/>
      <w:r w:rsidRPr="009B57C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9B57C0">
        <w:rPr>
          <w:rFonts w:ascii="Times New Roman" w:hAnsi="Times New Roman"/>
          <w:sz w:val="20"/>
          <w:szCs w:val="20"/>
        </w:rPr>
        <w:t>W = Weevil (</w:t>
      </w:r>
      <w:r w:rsidRPr="009B57C0">
        <w:rPr>
          <w:rFonts w:ascii="Times New Roman" w:hAnsi="Times New Roman"/>
          <w:i/>
          <w:sz w:val="20"/>
          <w:szCs w:val="20"/>
        </w:rPr>
        <w:t xml:space="preserve">H. </w:t>
      </w:r>
      <w:proofErr w:type="spellStart"/>
      <w:r w:rsidRPr="009B57C0">
        <w:rPr>
          <w:rFonts w:ascii="Times New Roman" w:hAnsi="Times New Roman"/>
          <w:i/>
          <w:sz w:val="20"/>
          <w:szCs w:val="20"/>
        </w:rPr>
        <w:t>litura</w:t>
      </w:r>
      <w:proofErr w:type="spellEnd"/>
      <w:r w:rsidRPr="009B57C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(presence, absence)</w:t>
      </w:r>
    </w:p>
    <w:p w:rsidR="0050292B" w:rsidRPr="009B57C0" w:rsidRDefault="0050292B" w:rsidP="0050292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9B57C0">
        <w:rPr>
          <w:rFonts w:ascii="Times New Roman" w:hAnsi="Times New Roman"/>
          <w:sz w:val="20"/>
          <w:szCs w:val="20"/>
          <w:vertAlign w:val="superscript"/>
        </w:rPr>
        <w:t>b</w:t>
      </w:r>
      <w:proofErr w:type="gramEnd"/>
      <w:r w:rsidRPr="009B57C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CS</w:t>
      </w:r>
      <w:r w:rsidRPr="009B57C0"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</w:rPr>
        <w:t>C</w:t>
      </w:r>
      <w:r w:rsidRPr="009B57C0">
        <w:rPr>
          <w:rFonts w:ascii="Times New Roman" w:hAnsi="Times New Roman"/>
          <w:sz w:val="20"/>
          <w:szCs w:val="20"/>
        </w:rPr>
        <w:t>ommon sunflower (</w:t>
      </w:r>
      <w:r w:rsidRPr="009B57C0">
        <w:rPr>
          <w:rFonts w:ascii="Times New Roman" w:hAnsi="Times New Roman"/>
          <w:i/>
          <w:sz w:val="20"/>
          <w:szCs w:val="20"/>
        </w:rPr>
        <w:t xml:space="preserve">Helianthus </w:t>
      </w:r>
      <w:proofErr w:type="spellStart"/>
      <w:r w:rsidRPr="009B57C0">
        <w:rPr>
          <w:rFonts w:ascii="Times New Roman" w:hAnsi="Times New Roman"/>
          <w:i/>
          <w:sz w:val="20"/>
          <w:szCs w:val="20"/>
        </w:rPr>
        <w:t>annuus</w:t>
      </w:r>
      <w:proofErr w:type="spellEnd"/>
      <w:r w:rsidRPr="009B57C0">
        <w:rPr>
          <w:rFonts w:ascii="Times New Roman" w:hAnsi="Times New Roman"/>
          <w:sz w:val="20"/>
          <w:szCs w:val="20"/>
        </w:rPr>
        <w:t xml:space="preserve">) (presence, absence) </w:t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9B57C0">
        <w:rPr>
          <w:rFonts w:ascii="Times New Roman" w:hAnsi="Times New Roman"/>
          <w:sz w:val="20"/>
          <w:szCs w:val="20"/>
          <w:vertAlign w:val="superscript"/>
        </w:rPr>
        <w:t>c</w:t>
      </w:r>
      <w:proofErr w:type="gramEnd"/>
      <w:r w:rsidRPr="009B57C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SN = Soil nutrient level</w:t>
      </w:r>
      <w:r w:rsidRPr="009B57C0">
        <w:rPr>
          <w:rFonts w:ascii="Times New Roman" w:hAnsi="Times New Roman"/>
          <w:sz w:val="20"/>
          <w:szCs w:val="20"/>
        </w:rPr>
        <w:t xml:space="preserve"> (low, high)</w:t>
      </w:r>
    </w:p>
    <w:p w:rsidR="0050292B" w:rsidRPr="009B57C0" w:rsidRDefault="0050292B" w:rsidP="0050292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d</w:t>
      </w:r>
      <w:proofErr w:type="gramEnd"/>
      <w:r w:rsidRPr="009B57C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9B57C0">
        <w:rPr>
          <w:rFonts w:ascii="Times New Roman" w:hAnsi="Times New Roman"/>
          <w:sz w:val="20"/>
          <w:szCs w:val="20"/>
        </w:rPr>
        <w:t xml:space="preserve">NS indicates </w:t>
      </w:r>
      <w:r>
        <w:rPr>
          <w:rFonts w:ascii="Times New Roman" w:hAnsi="Times New Roman"/>
          <w:sz w:val="20"/>
          <w:szCs w:val="20"/>
        </w:rPr>
        <w:t>not significant at 5% confidence level</w:t>
      </w:r>
    </w:p>
    <w:p w:rsidR="00662FDA" w:rsidRDefault="00662FDA"/>
    <w:p w:rsidR="0050292B" w:rsidRDefault="0050292B"/>
    <w:p w:rsidR="0050292B" w:rsidRDefault="0050292B"/>
    <w:p w:rsidR="0050292B" w:rsidRDefault="0050292B"/>
    <w:p w:rsidR="0050292B" w:rsidRDefault="0050292B"/>
    <w:p w:rsidR="0050292B" w:rsidRDefault="0050292B"/>
    <w:p w:rsidR="0050292B" w:rsidRDefault="0050292B">
      <w:bookmarkStart w:id="0" w:name="_GoBack"/>
      <w:bookmarkEnd w:id="0"/>
    </w:p>
    <w:p w:rsidR="0050292B" w:rsidRDefault="0050292B" w:rsidP="0050292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A59FED" wp14:editId="2FF4F8A0">
            <wp:extent cx="6117336" cy="2377440"/>
            <wp:effectExtent l="0" t="0" r="0" b="3810"/>
            <wp:docPr id="7" name="Picture 7" descr="C:\Users\x\Documents\Graduate Students\Erin Burns\IPSMrev Figures\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ocuments\Graduate Students\Erin Burns\IPSMrev Figures\He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36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C45">
        <w:rPr>
          <w:noProof/>
        </w:rPr>
        <w:t xml:space="preserve"> </w:t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Figure 1.</w:t>
      </w:r>
      <w:proofErr w:type="gramEnd"/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Hadroplontus</w:t>
      </w:r>
      <w:proofErr w:type="spellEnd"/>
      <w:r w:rsidRPr="0011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weevil attack (A; -W and + W designate no weevil attack and weevil attacked, respectively)</w:t>
      </w:r>
      <w:r w:rsidRPr="0011574F">
        <w:rPr>
          <w:rFonts w:ascii="Times New Roman" w:hAnsi="Times New Roman" w:cs="Times New Roman"/>
          <w:sz w:val="24"/>
          <w:szCs w:val="24"/>
        </w:rPr>
        <w:t xml:space="preserve">, </w:t>
      </w:r>
      <w:r w:rsidRPr="00674633">
        <w:rPr>
          <w:rFonts w:ascii="Times New Roman" w:hAnsi="Times New Roman" w:cs="Times New Roman"/>
          <w:iCs/>
          <w:sz w:val="24"/>
          <w:szCs w:val="24"/>
        </w:rPr>
        <w:t>common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sunflower plant competition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(B; -C and +C designate no competition and competition, respectively), and soil nutrient levels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(C; LN and HN designated low soil nutrients and high soil nutrients, respectively) </w:t>
      </w:r>
      <w:r w:rsidRPr="0011574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mean </w:t>
      </w:r>
      <w:r w:rsidRPr="0011574F">
        <w:rPr>
          <w:rFonts w:ascii="Times New Roman" w:hAnsi="Times New Roman" w:cs="Times New Roman"/>
          <w:sz w:val="24"/>
          <w:szCs w:val="24"/>
        </w:rPr>
        <w:t xml:space="preserve">Canada thistle </w:t>
      </w:r>
      <w:r>
        <w:rPr>
          <w:rFonts w:ascii="Times New Roman" w:hAnsi="Times New Roman" w:cs="Times New Roman"/>
          <w:sz w:val="24"/>
          <w:szCs w:val="24"/>
        </w:rPr>
        <w:t>main stem shoot height</w:t>
      </w:r>
      <w:r w:rsidRPr="0011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11574F">
        <w:rPr>
          <w:rFonts w:ascii="Times New Roman" w:hAnsi="Times New Roman" w:cs="Times New Roman"/>
          <w:sz w:val="24"/>
          <w:szCs w:val="24"/>
        </w:rPr>
        <w:t xml:space="preserve"> indicate mean values plus standard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the mean.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11574F">
        <w:rPr>
          <w:rFonts w:ascii="Times New Roman" w:hAnsi="Times New Roman" w:cs="Times New Roman"/>
          <w:sz w:val="24"/>
          <w:szCs w:val="24"/>
        </w:rPr>
        <w:t xml:space="preserve"> labeled with different letters differ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means labeled NS did not differ (95% confidence level)</w:t>
      </w:r>
      <w:r w:rsidRPr="00115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2EE6F" wp14:editId="79B21022">
            <wp:extent cx="6089904" cy="2377440"/>
            <wp:effectExtent l="0" t="0" r="6350" b="3810"/>
            <wp:docPr id="6" name="Picture 6" descr="C:\Users\x\Documents\Graduate Students\Erin Burns\IPSMrev Figures\MS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\Documents\Graduate Students\Erin Burns\IPSMrev Figures\MSB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04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Figure 2.</w:t>
      </w:r>
      <w:proofErr w:type="gramEnd"/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Hadroplontus</w:t>
      </w:r>
      <w:proofErr w:type="spellEnd"/>
      <w:r w:rsidRPr="0011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weevil attack (A; -W and + W designate no weevil attack and weevil attacked, respectively)</w:t>
      </w:r>
      <w:r w:rsidRPr="0011574F">
        <w:rPr>
          <w:rFonts w:ascii="Times New Roman" w:hAnsi="Times New Roman" w:cs="Times New Roman"/>
          <w:sz w:val="24"/>
          <w:szCs w:val="24"/>
        </w:rPr>
        <w:t xml:space="preserve">, </w:t>
      </w:r>
      <w:r w:rsidRPr="00674633">
        <w:rPr>
          <w:rFonts w:ascii="Times New Roman" w:hAnsi="Times New Roman" w:cs="Times New Roman"/>
          <w:iCs/>
          <w:sz w:val="24"/>
          <w:szCs w:val="24"/>
        </w:rPr>
        <w:t>common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sunflower plant competition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(B; -C and +C designate no competition and competition, respectively), and soil nutrient levels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(C; LN and HN designated low soil nutrients and high soil nutrients, respectively) </w:t>
      </w:r>
      <w:r>
        <w:rPr>
          <w:rFonts w:ascii="Times New Roman" w:hAnsi="Times New Roman" w:cs="Times New Roman"/>
          <w:sz w:val="24"/>
          <w:szCs w:val="24"/>
        </w:rPr>
        <w:t>on mean Canada thistle dry main stem shoot biomass</w:t>
      </w:r>
      <w:r w:rsidRPr="0011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11574F">
        <w:rPr>
          <w:rFonts w:ascii="Times New Roman" w:hAnsi="Times New Roman" w:cs="Times New Roman"/>
          <w:sz w:val="24"/>
          <w:szCs w:val="24"/>
        </w:rPr>
        <w:t xml:space="preserve"> indicate mean values plus standard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the mean.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11574F">
        <w:rPr>
          <w:rFonts w:ascii="Times New Roman" w:hAnsi="Times New Roman" w:cs="Times New Roman"/>
          <w:sz w:val="24"/>
          <w:szCs w:val="24"/>
        </w:rPr>
        <w:t xml:space="preserve"> labeled with different letters differ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means labeled NS did not differ (95% confidence level)</w:t>
      </w:r>
      <w:r w:rsidRPr="0011574F">
        <w:rPr>
          <w:rFonts w:ascii="Times New Roman" w:hAnsi="Times New Roman" w:cs="Times New Roman"/>
          <w:sz w:val="24"/>
          <w:szCs w:val="24"/>
        </w:rPr>
        <w:t>.</w:t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21D333" wp14:editId="0FB0261E">
            <wp:extent cx="6089904" cy="2377440"/>
            <wp:effectExtent l="0" t="0" r="0" b="0"/>
            <wp:docPr id="1" name="Picture 1" descr="C:\Users\x\Documents\Graduate Students\Erin Burns\IPSMrev Figures\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cuments\Graduate Students\Erin Burns\IPSMrev Figures\Flow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04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Figure 3.</w:t>
      </w:r>
      <w:proofErr w:type="gramEnd"/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Hadroplontus</w:t>
      </w:r>
      <w:proofErr w:type="spellEnd"/>
      <w:r w:rsidRPr="0011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weevil attack (A; -W and + W designate no weevil attack and weevil attacked, respectively)</w:t>
      </w:r>
      <w:r w:rsidRPr="0011574F">
        <w:rPr>
          <w:rFonts w:ascii="Times New Roman" w:hAnsi="Times New Roman" w:cs="Times New Roman"/>
          <w:sz w:val="24"/>
          <w:szCs w:val="24"/>
        </w:rPr>
        <w:t xml:space="preserve">, </w:t>
      </w:r>
      <w:r w:rsidRPr="00674633">
        <w:rPr>
          <w:rFonts w:ascii="Times New Roman" w:hAnsi="Times New Roman" w:cs="Times New Roman"/>
          <w:iCs/>
          <w:sz w:val="24"/>
          <w:szCs w:val="24"/>
        </w:rPr>
        <w:t>common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sunflower plant competition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(B; -C and +C designate no competition and competition, respectively), and soil nutrient levels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(C; LN and HN designated low soil nutrients and high soil nutrients, respectively) </w:t>
      </w:r>
      <w:r w:rsidRPr="0011574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mean numbers of flowers produced per thistle plant</w:t>
      </w:r>
      <w:r w:rsidRPr="0011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11574F">
        <w:rPr>
          <w:rFonts w:ascii="Times New Roman" w:hAnsi="Times New Roman" w:cs="Times New Roman"/>
          <w:sz w:val="24"/>
          <w:szCs w:val="24"/>
        </w:rPr>
        <w:t xml:space="preserve"> indicate mean values plus standard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the mean.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11574F">
        <w:rPr>
          <w:rFonts w:ascii="Times New Roman" w:hAnsi="Times New Roman" w:cs="Times New Roman"/>
          <w:sz w:val="24"/>
          <w:szCs w:val="24"/>
        </w:rPr>
        <w:t xml:space="preserve"> labeled with different letters differ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means labeled NS did not differ (95% confidence level)</w:t>
      </w:r>
      <w:r w:rsidRPr="0011574F">
        <w:rPr>
          <w:rFonts w:ascii="Times New Roman" w:hAnsi="Times New Roman" w:cs="Times New Roman"/>
          <w:sz w:val="24"/>
          <w:szCs w:val="24"/>
        </w:rPr>
        <w:t>.</w:t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B31786" wp14:editId="389A6C96">
            <wp:extent cx="6035040" cy="2377440"/>
            <wp:effectExtent l="0" t="0" r="3810" b="3810"/>
            <wp:docPr id="4" name="Picture 4" descr="C:\Users\x\Documents\Graduate Students\Erin Burns\IPSMrev Figures\Sh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\Documents\Graduate Students\Erin Burns\IPSMrev Figures\Shoo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Figure 4.</w:t>
      </w:r>
      <w:proofErr w:type="gramEnd"/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2"/>
      <w:r>
        <w:rPr>
          <w:rFonts w:ascii="Times New Roman" w:hAnsi="Times New Roman" w:cs="Times New Roman"/>
          <w:sz w:val="24"/>
          <w:szCs w:val="24"/>
        </w:rPr>
        <w:t>Effects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Hadroplontus</w:t>
      </w:r>
      <w:proofErr w:type="spellEnd"/>
      <w:r w:rsidRPr="0011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weevil attack (A; -W and + W designate no weevil attack and weevil attacked, respectively)</w:t>
      </w:r>
      <w:r w:rsidRPr="0011574F">
        <w:rPr>
          <w:rFonts w:ascii="Times New Roman" w:hAnsi="Times New Roman" w:cs="Times New Roman"/>
          <w:sz w:val="24"/>
          <w:szCs w:val="24"/>
        </w:rPr>
        <w:t xml:space="preserve">, </w:t>
      </w:r>
      <w:r w:rsidRPr="00674633">
        <w:rPr>
          <w:rFonts w:ascii="Times New Roman" w:hAnsi="Times New Roman" w:cs="Times New Roman"/>
          <w:iCs/>
          <w:sz w:val="24"/>
          <w:szCs w:val="24"/>
        </w:rPr>
        <w:t>common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sunflower plant competition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(B; -C and +C designate no competition and competition, respectively), and soil nutrient levels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(C; LN and HN designated low soil nutrients and high soil nutrients, respectively)</w:t>
      </w:r>
      <w:bookmarkEnd w:id="1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574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mean Canada thistle side shoot number</w:t>
      </w:r>
      <w:r w:rsidRPr="0011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11574F">
        <w:rPr>
          <w:rFonts w:ascii="Times New Roman" w:hAnsi="Times New Roman" w:cs="Times New Roman"/>
          <w:sz w:val="24"/>
          <w:szCs w:val="24"/>
        </w:rPr>
        <w:t xml:space="preserve"> indicate mean values plus standard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the mean.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11574F">
        <w:rPr>
          <w:rFonts w:ascii="Times New Roman" w:hAnsi="Times New Roman" w:cs="Times New Roman"/>
          <w:sz w:val="24"/>
          <w:szCs w:val="24"/>
        </w:rPr>
        <w:t xml:space="preserve"> labeled with different letters differ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means labeled NS did not differ (95% confidence level)</w:t>
      </w:r>
      <w:r w:rsidRPr="0011574F">
        <w:rPr>
          <w:rFonts w:ascii="Times New Roman" w:hAnsi="Times New Roman" w:cs="Times New Roman"/>
          <w:sz w:val="24"/>
          <w:szCs w:val="24"/>
        </w:rPr>
        <w:t>.</w:t>
      </w:r>
    </w:p>
    <w:p w:rsidR="0050292B" w:rsidRDefault="0050292B" w:rsidP="00502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44888B" wp14:editId="3B36EC00">
            <wp:extent cx="6108192" cy="2377440"/>
            <wp:effectExtent l="0" t="0" r="6985" b="3810"/>
            <wp:docPr id="5" name="Picture 5" descr="C:\Users\x\Documents\Graduate Students\Erin Burns\IPSMrev Figures\Root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\Documents\Graduate Students\Erin Burns\IPSMrev Figures\RootB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92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2B" w:rsidRDefault="0050292B" w:rsidP="0050292B">
      <w:pPr>
        <w:spacing w:line="240" w:lineRule="auto"/>
        <w:contextualSpacing/>
      </w:pPr>
      <w:proofErr w:type="gramStart"/>
      <w:r>
        <w:rPr>
          <w:rFonts w:ascii="Times New Roman" w:hAnsi="Times New Roman" w:cs="Times New Roman"/>
          <w:sz w:val="24"/>
          <w:szCs w:val="24"/>
        </w:rPr>
        <w:t>Figure 5.</w:t>
      </w:r>
      <w:proofErr w:type="gramEnd"/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Hadroplontus</w:t>
      </w:r>
      <w:proofErr w:type="spellEnd"/>
      <w:r w:rsidRPr="0011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74F">
        <w:rPr>
          <w:rFonts w:ascii="Times New Roman" w:hAnsi="Times New Roman" w:cs="Times New Roman"/>
          <w:i/>
          <w:sz w:val="24"/>
          <w:szCs w:val="24"/>
        </w:rPr>
        <w:t>litura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weevil attack (A; -W and + W designate no weevil attack and weevil attacked, respectively)</w:t>
      </w:r>
      <w:r w:rsidRPr="0011574F">
        <w:rPr>
          <w:rFonts w:ascii="Times New Roman" w:hAnsi="Times New Roman" w:cs="Times New Roman"/>
          <w:sz w:val="24"/>
          <w:szCs w:val="24"/>
        </w:rPr>
        <w:t xml:space="preserve">, </w:t>
      </w:r>
      <w:r w:rsidRPr="00674633">
        <w:rPr>
          <w:rFonts w:ascii="Times New Roman" w:hAnsi="Times New Roman" w:cs="Times New Roman"/>
          <w:iCs/>
          <w:sz w:val="24"/>
          <w:szCs w:val="24"/>
        </w:rPr>
        <w:t>common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sunflower plant competition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(B; -C and +C designate no competition and competition, respectively), and soil nutrient levels</w:t>
      </w:r>
      <w:r w:rsidRPr="001157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(C; LN and HN designated low soil nutrients and high soil nutrients, respectively) </w:t>
      </w:r>
      <w:r>
        <w:rPr>
          <w:rFonts w:ascii="Times New Roman" w:hAnsi="Times New Roman" w:cs="Times New Roman"/>
          <w:sz w:val="24"/>
          <w:szCs w:val="24"/>
        </w:rPr>
        <w:t>on mean Canada thistle dry root biomass</w:t>
      </w:r>
      <w:r w:rsidRPr="0011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11574F">
        <w:rPr>
          <w:rFonts w:ascii="Times New Roman" w:hAnsi="Times New Roman" w:cs="Times New Roman"/>
          <w:sz w:val="24"/>
          <w:szCs w:val="24"/>
        </w:rPr>
        <w:t xml:space="preserve"> indicate mean values plus standard error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574F">
        <w:rPr>
          <w:rFonts w:ascii="Times New Roman" w:hAnsi="Times New Roman" w:cs="Times New Roman"/>
          <w:sz w:val="24"/>
          <w:szCs w:val="24"/>
        </w:rPr>
        <w:t xml:space="preserve"> of the mean.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11574F">
        <w:rPr>
          <w:rFonts w:ascii="Times New Roman" w:hAnsi="Times New Roman" w:cs="Times New Roman"/>
          <w:sz w:val="24"/>
          <w:szCs w:val="24"/>
        </w:rPr>
        <w:t xml:space="preserve"> labeled with different letters differ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1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means labeled NS did not differ (95% confidence level)</w:t>
      </w:r>
      <w:r w:rsidRPr="0011574F">
        <w:rPr>
          <w:rFonts w:ascii="Times New Roman" w:hAnsi="Times New Roman" w:cs="Times New Roman"/>
          <w:sz w:val="24"/>
          <w:szCs w:val="24"/>
        </w:rPr>
        <w:t>.</w:t>
      </w:r>
    </w:p>
    <w:p w:rsidR="0050292B" w:rsidRDefault="0050292B"/>
    <w:sectPr w:rsidR="0050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B"/>
    <w:rsid w:val="0050292B"/>
    <w:rsid w:val="0066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2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2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2013-03-27T17:53:00Z</dcterms:created>
  <dcterms:modified xsi:type="dcterms:W3CDTF">2013-03-27T17:55:00Z</dcterms:modified>
</cp:coreProperties>
</file>