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0C" w:rsidRDefault="000D1DDA" w:rsidP="00A82357">
      <w:pPr>
        <w:pBdr>
          <w:bottom w:val="single" w:sz="4" w:space="1" w:color="auto"/>
        </w:pBdr>
        <w:spacing w:after="0" w:line="240" w:lineRule="auto"/>
      </w:pPr>
      <w:proofErr w:type="gramStart"/>
      <w:r>
        <w:t xml:space="preserve">Table </w:t>
      </w:r>
      <w:r w:rsidR="00912F45">
        <w:t>13</w:t>
      </w:r>
      <w:r>
        <w:t>.</w:t>
      </w:r>
      <w:proofErr w:type="gramEnd"/>
      <w:r>
        <w:t xml:space="preserve">  </w:t>
      </w:r>
      <w:proofErr w:type="gramStart"/>
      <w:r w:rsidR="008E6128">
        <w:t>Mean total root mass (WT), carbon (C), and nitrogen</w:t>
      </w:r>
      <w:r w:rsidR="00A27B18">
        <w:t xml:space="preserve"> </w:t>
      </w:r>
      <w:r w:rsidR="008E6128">
        <w:t>(N) for each site and cropping system</w:t>
      </w:r>
      <w:r w:rsidR="000A3768">
        <w:t>.</w:t>
      </w:r>
      <w:proofErr w:type="gramEnd"/>
    </w:p>
    <w:p w:rsidR="00EB0A46" w:rsidRDefault="00EB0A46" w:rsidP="00CC617B">
      <w:pPr>
        <w:tabs>
          <w:tab w:val="left" w:pos="3150"/>
          <w:tab w:val="left" w:pos="4860"/>
          <w:tab w:val="left" w:pos="6480"/>
          <w:tab w:val="left" w:pos="8100"/>
        </w:tabs>
        <w:spacing w:before="120" w:after="0" w:line="240" w:lineRule="auto"/>
        <w:rPr>
          <w:b/>
        </w:rPr>
      </w:pPr>
      <w:r>
        <w:rPr>
          <w:b/>
        </w:rPr>
        <w:tab/>
      </w:r>
      <w:r w:rsidR="000E6820">
        <w:rPr>
          <w:b/>
        </w:rPr>
        <w:t>SF</w:t>
      </w:r>
      <w:r>
        <w:rPr>
          <w:b/>
        </w:rPr>
        <w:tab/>
      </w:r>
      <w:r w:rsidR="000E6820">
        <w:rPr>
          <w:b/>
        </w:rPr>
        <w:t>SREC</w:t>
      </w:r>
      <w:r>
        <w:rPr>
          <w:b/>
        </w:rPr>
        <w:tab/>
      </w:r>
      <w:r w:rsidR="000E6820">
        <w:rPr>
          <w:b/>
        </w:rPr>
        <w:t>PTEB</w:t>
      </w:r>
      <w:r w:rsidR="002A4440">
        <w:rPr>
          <w:b/>
        </w:rPr>
        <w:t>S</w:t>
      </w:r>
      <w:r w:rsidR="002A4440">
        <w:rPr>
          <w:b/>
        </w:rPr>
        <w:tab/>
      </w:r>
      <w:r w:rsidR="000E6820">
        <w:rPr>
          <w:b/>
        </w:rPr>
        <w:t>All Sites</w:t>
      </w:r>
    </w:p>
    <w:p w:rsidR="000D1DDA" w:rsidRPr="00A82357" w:rsidRDefault="000D1DDA" w:rsidP="003E7FA4">
      <w:pPr>
        <w:tabs>
          <w:tab w:val="left" w:pos="2340"/>
          <w:tab w:val="left" w:pos="2970"/>
          <w:tab w:val="left" w:pos="3420"/>
          <w:tab w:val="left" w:pos="4140"/>
          <w:tab w:val="left" w:pos="4770"/>
          <w:tab w:val="left" w:pos="5220"/>
          <w:tab w:val="left" w:pos="5940"/>
          <w:tab w:val="left" w:pos="6570"/>
          <w:tab w:val="left" w:pos="7020"/>
          <w:tab w:val="left" w:pos="7830"/>
          <w:tab w:val="left" w:pos="8460"/>
          <w:tab w:val="left" w:pos="9000"/>
        </w:tabs>
        <w:spacing w:before="120" w:after="0" w:line="240" w:lineRule="auto"/>
        <w:rPr>
          <w:b/>
        </w:rPr>
      </w:pPr>
      <w:r w:rsidRPr="00A82357">
        <w:rPr>
          <w:b/>
        </w:rPr>
        <w:t>Treatment</w:t>
      </w:r>
      <w:r w:rsidRPr="00A82357">
        <w:rPr>
          <w:b/>
        </w:rPr>
        <w:tab/>
      </w:r>
      <w:proofErr w:type="spellStart"/>
      <w:r w:rsidR="000E6820">
        <w:rPr>
          <w:b/>
        </w:rPr>
        <w:t>Wt</w:t>
      </w:r>
      <w:proofErr w:type="spellEnd"/>
      <w:r w:rsidRPr="00A82357">
        <w:rPr>
          <w:b/>
        </w:rPr>
        <w:tab/>
      </w:r>
      <w:r w:rsidR="00BB43F3">
        <w:rPr>
          <w:b/>
        </w:rPr>
        <w:t>C</w:t>
      </w:r>
      <w:r w:rsidR="00BB43F3">
        <w:rPr>
          <w:b/>
        </w:rPr>
        <w:tab/>
        <w:t>N</w:t>
      </w:r>
      <w:r w:rsidR="00282E76">
        <w:rPr>
          <w:b/>
        </w:rPr>
        <w:tab/>
      </w:r>
      <w:proofErr w:type="spellStart"/>
      <w:r w:rsidR="000E6820">
        <w:rPr>
          <w:b/>
        </w:rPr>
        <w:t>Wt</w:t>
      </w:r>
      <w:proofErr w:type="spellEnd"/>
      <w:r w:rsidR="00BB43F3">
        <w:rPr>
          <w:b/>
        </w:rPr>
        <w:tab/>
        <w:t>C</w:t>
      </w:r>
      <w:r w:rsidR="00EB0A46">
        <w:rPr>
          <w:b/>
        </w:rPr>
        <w:tab/>
      </w:r>
      <w:r w:rsidR="00BB43F3">
        <w:rPr>
          <w:b/>
        </w:rPr>
        <w:t>N</w:t>
      </w:r>
      <w:r w:rsidR="000E6820">
        <w:rPr>
          <w:b/>
        </w:rPr>
        <w:tab/>
      </w:r>
      <w:r w:rsidR="00BB43F3">
        <w:rPr>
          <w:b/>
        </w:rPr>
        <w:t>WT</w:t>
      </w:r>
      <w:r w:rsidR="00BB43F3">
        <w:rPr>
          <w:b/>
        </w:rPr>
        <w:tab/>
        <w:t>C</w:t>
      </w:r>
      <w:r w:rsidR="00BB43F3">
        <w:rPr>
          <w:b/>
        </w:rPr>
        <w:tab/>
        <w:t>N</w:t>
      </w:r>
      <w:r w:rsidR="00BB43F3">
        <w:rPr>
          <w:b/>
        </w:rPr>
        <w:tab/>
      </w:r>
      <w:proofErr w:type="spellStart"/>
      <w:r w:rsidR="00BB43F3">
        <w:rPr>
          <w:b/>
        </w:rPr>
        <w:t>Wt</w:t>
      </w:r>
      <w:proofErr w:type="spellEnd"/>
      <w:r w:rsidR="00BB43F3">
        <w:rPr>
          <w:b/>
        </w:rPr>
        <w:tab/>
        <w:t>C</w:t>
      </w:r>
      <w:r w:rsidR="00BB43F3">
        <w:rPr>
          <w:b/>
        </w:rPr>
        <w:tab/>
        <w:t>N</w:t>
      </w:r>
    </w:p>
    <w:p w:rsidR="00A82357" w:rsidRDefault="009D3BEC" w:rsidP="00EB0A46">
      <w:pPr>
        <w:tabs>
          <w:tab w:val="left" w:pos="2700"/>
          <w:tab w:val="left" w:pos="5580"/>
          <w:tab w:val="left" w:pos="6840"/>
          <w:tab w:val="left" w:pos="8100"/>
        </w:tabs>
        <w:spacing w:after="0" w:line="240" w:lineRule="auto"/>
      </w:pPr>
      <w:r>
        <w:tab/>
      </w:r>
      <w:proofErr w:type="gramStart"/>
      <w:r w:rsidR="00A82357">
        <w:t>------------------------</w:t>
      </w:r>
      <w:r w:rsidR="00EB0A46">
        <w:t>--</w:t>
      </w:r>
      <w:r w:rsidR="00A82357">
        <w:t>---------</w:t>
      </w:r>
      <w:r w:rsidR="003E7FA4">
        <w:t>----</w:t>
      </w:r>
      <w:r w:rsidR="00A82357">
        <w:t>--</w:t>
      </w:r>
      <w:r w:rsidR="00EB0A46">
        <w:t>(</w:t>
      </w:r>
      <w:proofErr w:type="gramEnd"/>
      <w:r w:rsidR="00EB0A46">
        <w:t>Mg/ha</w:t>
      </w:r>
      <w:r w:rsidR="000D1DDA">
        <w:t>)</w:t>
      </w:r>
      <w:r w:rsidR="00A82357">
        <w:t>--------</w:t>
      </w:r>
      <w:r w:rsidR="003E7FA4">
        <w:t>---</w:t>
      </w:r>
      <w:r w:rsidR="00A82357">
        <w:t>------</w:t>
      </w:r>
      <w:r w:rsidR="003E7FA4">
        <w:t>---</w:t>
      </w:r>
      <w:r w:rsidR="00A82357">
        <w:t>---</w:t>
      </w:r>
      <w:r w:rsidR="00EB0A46">
        <w:t>--</w:t>
      </w:r>
      <w:r w:rsidR="00A82357">
        <w:t>------------------</w:t>
      </w:r>
    </w:p>
    <w:p w:rsidR="00A82357" w:rsidRPr="000E6820" w:rsidRDefault="00A82357" w:rsidP="00A82357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</w:rPr>
      </w:pPr>
      <w:r w:rsidRPr="00A82357">
        <w:rPr>
          <w:b/>
          <w:u w:val="single"/>
        </w:rPr>
        <w:t>CT and CW Comparison</w:t>
      </w:r>
      <w:r w:rsidR="00FB4C2F" w:rsidRPr="00FB4C2F">
        <w:rPr>
          <w:vertAlign w:val="superscript"/>
        </w:rPr>
        <w:t>1</w:t>
      </w:r>
    </w:p>
    <w:p w:rsidR="00A82357" w:rsidRDefault="00A82357" w:rsidP="003E7FA4">
      <w:pPr>
        <w:tabs>
          <w:tab w:val="decimal" w:pos="2430"/>
          <w:tab w:val="decimal" w:pos="2970"/>
          <w:tab w:val="decimal" w:pos="3420"/>
          <w:tab w:val="decimal" w:pos="4230"/>
          <w:tab w:val="decimal" w:pos="4770"/>
          <w:tab w:val="decimal" w:pos="5220"/>
          <w:tab w:val="decimal" w:pos="6030"/>
          <w:tab w:val="decimal" w:pos="6570"/>
          <w:tab w:val="decimal" w:pos="7020"/>
          <w:tab w:val="decimal" w:pos="7920"/>
          <w:tab w:val="decimal" w:pos="8460"/>
          <w:tab w:val="decimal" w:pos="9000"/>
        </w:tabs>
        <w:spacing w:before="120" w:after="0" w:line="240" w:lineRule="auto"/>
      </w:pPr>
      <w:r>
        <w:t>CT</w:t>
      </w:r>
      <w:r>
        <w:tab/>
      </w:r>
      <w:r w:rsidR="00263C59">
        <w:t>3.3</w:t>
      </w:r>
      <w:r w:rsidR="00263C59">
        <w:tab/>
        <w:t>1.2</w:t>
      </w:r>
      <w:r w:rsidR="002A4440">
        <w:tab/>
        <w:t>0.05</w:t>
      </w:r>
      <w:r w:rsidR="00BB43F3">
        <w:tab/>
        <w:t>2.8</w:t>
      </w:r>
      <w:r w:rsidR="00BB43F3">
        <w:tab/>
        <w:t>0.9</w:t>
      </w:r>
      <w:r w:rsidR="00BB43F3">
        <w:tab/>
        <w:t>0.04</w:t>
      </w:r>
      <w:r w:rsidR="00BB43F3">
        <w:tab/>
        <w:t>4.3</w:t>
      </w:r>
      <w:r w:rsidR="00BB43F3">
        <w:tab/>
        <w:t>1.4</w:t>
      </w:r>
      <w:r w:rsidR="00877111">
        <w:tab/>
      </w:r>
      <w:r w:rsidR="00BB43F3">
        <w:t>0.07</w:t>
      </w:r>
      <w:r w:rsidR="00BB43F3">
        <w:tab/>
        <w:t>3.5a</w:t>
      </w:r>
      <w:r w:rsidR="008E6128">
        <w:rPr>
          <w:vertAlign w:val="superscript"/>
        </w:rPr>
        <w:t>2</w:t>
      </w:r>
      <w:r w:rsidR="00BB43F3">
        <w:tab/>
        <w:t>1.2</w:t>
      </w:r>
      <w:r w:rsidR="003E7FA4">
        <w:t>a</w:t>
      </w:r>
      <w:r w:rsidR="00BB43F3">
        <w:tab/>
        <w:t>0.</w:t>
      </w:r>
      <w:r w:rsidR="00CC617B">
        <w:t>05a</w:t>
      </w:r>
    </w:p>
    <w:p w:rsidR="00CC617B" w:rsidRDefault="00CC617B" w:rsidP="003E7FA4">
      <w:pPr>
        <w:tabs>
          <w:tab w:val="decimal" w:pos="2430"/>
          <w:tab w:val="decimal" w:pos="2970"/>
          <w:tab w:val="decimal" w:pos="3420"/>
          <w:tab w:val="decimal" w:pos="4230"/>
          <w:tab w:val="decimal" w:pos="4770"/>
          <w:tab w:val="decimal" w:pos="5220"/>
          <w:tab w:val="decimal" w:pos="6030"/>
          <w:tab w:val="decimal" w:pos="6570"/>
          <w:tab w:val="decimal" w:pos="7020"/>
          <w:tab w:val="decimal" w:pos="7920"/>
          <w:tab w:val="decimal" w:pos="8460"/>
          <w:tab w:val="decimal" w:pos="9000"/>
        </w:tabs>
        <w:spacing w:before="120" w:after="0" w:line="240" w:lineRule="auto"/>
      </w:pPr>
      <w:r>
        <w:t>CW</w:t>
      </w:r>
      <w:r>
        <w:tab/>
        <w:t>6.4</w:t>
      </w:r>
      <w:r>
        <w:tab/>
        <w:t>2.2</w:t>
      </w:r>
      <w:r>
        <w:tab/>
        <w:t>0.07</w:t>
      </w:r>
      <w:r>
        <w:tab/>
        <w:t>4.0</w:t>
      </w:r>
      <w:r>
        <w:tab/>
        <w:t>1.6</w:t>
      </w:r>
      <w:r>
        <w:tab/>
        <w:t>0.04</w:t>
      </w:r>
      <w:r>
        <w:tab/>
        <w:t>3.3</w:t>
      </w:r>
      <w:r>
        <w:tab/>
        <w:t>1.3</w:t>
      </w:r>
      <w:r>
        <w:tab/>
        <w:t>0.05</w:t>
      </w:r>
      <w:r>
        <w:tab/>
        <w:t>4.6</w:t>
      </w:r>
      <w:r w:rsidR="00263C59">
        <w:t>a</w:t>
      </w:r>
      <w:r>
        <w:tab/>
        <w:t>1.7</w:t>
      </w:r>
      <w:r w:rsidR="003E7FA4">
        <w:t>a</w:t>
      </w:r>
      <w:r>
        <w:tab/>
        <w:t>0.05</w:t>
      </w:r>
      <w:r w:rsidR="003E7FA4">
        <w:t>a</w:t>
      </w:r>
    </w:p>
    <w:p w:rsidR="00A82357" w:rsidRDefault="00A82357" w:rsidP="00A82357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</w:pPr>
    </w:p>
    <w:p w:rsidR="00A82357" w:rsidRPr="00FB4C2F" w:rsidRDefault="00A82357" w:rsidP="00A82357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  <w:vertAlign w:val="superscript"/>
        </w:rPr>
      </w:pPr>
      <w:r w:rsidRPr="00A82357">
        <w:rPr>
          <w:b/>
          <w:u w:val="single"/>
        </w:rPr>
        <w:t>CT</w:t>
      </w:r>
      <w:r w:rsidR="00FB4C2F">
        <w:rPr>
          <w:b/>
          <w:u w:val="single"/>
        </w:rPr>
        <w:t xml:space="preserve"> and SG </w:t>
      </w:r>
      <w:r w:rsidRPr="00A82357">
        <w:rPr>
          <w:b/>
          <w:u w:val="single"/>
        </w:rPr>
        <w:t>Comparison</w:t>
      </w:r>
      <w:r w:rsidR="00FB4C2F" w:rsidRPr="00FB4C2F">
        <w:rPr>
          <w:vertAlign w:val="superscript"/>
        </w:rPr>
        <w:t>3</w:t>
      </w:r>
    </w:p>
    <w:p w:rsidR="003E7FA4" w:rsidRDefault="003E7FA4" w:rsidP="003E7FA4">
      <w:pPr>
        <w:tabs>
          <w:tab w:val="decimal" w:pos="2430"/>
          <w:tab w:val="decimal" w:pos="2970"/>
          <w:tab w:val="decimal" w:pos="3420"/>
          <w:tab w:val="decimal" w:pos="4230"/>
          <w:tab w:val="decimal" w:pos="4770"/>
          <w:tab w:val="decimal" w:pos="5220"/>
          <w:tab w:val="decimal" w:pos="6030"/>
          <w:tab w:val="decimal" w:pos="6570"/>
          <w:tab w:val="decimal" w:pos="7020"/>
          <w:tab w:val="decimal" w:pos="7920"/>
          <w:tab w:val="decimal" w:pos="8460"/>
          <w:tab w:val="decimal" w:pos="9000"/>
        </w:tabs>
        <w:spacing w:before="120" w:after="0" w:line="240" w:lineRule="auto"/>
      </w:pPr>
      <w:r>
        <w:t>CT</w:t>
      </w:r>
      <w:r>
        <w:tab/>
      </w:r>
      <w:r w:rsidR="00263C59">
        <w:t>3.3</w:t>
      </w:r>
      <w:r w:rsidR="00263C59">
        <w:tab/>
        <w:t>1.2</w:t>
      </w:r>
      <w:r>
        <w:tab/>
        <w:t>0.05</w:t>
      </w:r>
      <w:r>
        <w:tab/>
      </w:r>
      <w:r>
        <w:tab/>
      </w:r>
      <w:r>
        <w:tab/>
      </w:r>
      <w:r>
        <w:tab/>
        <w:t>4.3</w:t>
      </w:r>
      <w:r>
        <w:tab/>
        <w:t>1.4</w:t>
      </w:r>
      <w:r>
        <w:tab/>
        <w:t>0.07</w:t>
      </w:r>
      <w:r>
        <w:tab/>
      </w:r>
      <w:r w:rsidR="00263C59">
        <w:t>3.7b</w:t>
      </w:r>
      <w:r w:rsidR="00263C59">
        <w:tab/>
        <w:t>1.3b</w:t>
      </w:r>
      <w:r w:rsidR="00263C59">
        <w:tab/>
        <w:t>0.6</w:t>
      </w:r>
      <w:r w:rsidR="008E6128">
        <w:t>a</w:t>
      </w:r>
    </w:p>
    <w:p w:rsidR="003E7FA4" w:rsidRDefault="00FC7CB0" w:rsidP="003E7FA4">
      <w:pPr>
        <w:pBdr>
          <w:bottom w:val="single" w:sz="4" w:space="1" w:color="auto"/>
        </w:pBdr>
        <w:tabs>
          <w:tab w:val="decimal" w:pos="2430"/>
          <w:tab w:val="decimal" w:pos="2970"/>
          <w:tab w:val="decimal" w:pos="3420"/>
          <w:tab w:val="decimal" w:pos="4230"/>
          <w:tab w:val="decimal" w:pos="4770"/>
          <w:tab w:val="decimal" w:pos="5220"/>
          <w:tab w:val="decimal" w:pos="6030"/>
          <w:tab w:val="decimal" w:pos="6570"/>
          <w:tab w:val="decimal" w:pos="7020"/>
          <w:tab w:val="decimal" w:pos="7920"/>
          <w:tab w:val="decimal" w:pos="8460"/>
          <w:tab w:val="decimal" w:pos="9000"/>
        </w:tabs>
        <w:spacing w:before="120" w:after="0" w:line="240" w:lineRule="auto"/>
      </w:pPr>
      <w:r>
        <w:t>SG</w:t>
      </w:r>
      <w:r w:rsidR="003E7FA4">
        <w:tab/>
      </w:r>
      <w:r w:rsidR="00263C59">
        <w:t>6.4</w:t>
      </w:r>
      <w:r w:rsidR="00263C59">
        <w:tab/>
        <w:t>2.4</w:t>
      </w:r>
      <w:r w:rsidR="00263C59">
        <w:tab/>
        <w:t>0.06</w:t>
      </w:r>
      <w:r w:rsidR="00263C59">
        <w:tab/>
      </w:r>
      <w:r w:rsidR="00263C59">
        <w:tab/>
      </w:r>
      <w:r w:rsidR="00263C59">
        <w:tab/>
      </w:r>
      <w:r w:rsidR="00263C59">
        <w:tab/>
        <w:t>6.9</w:t>
      </w:r>
      <w:r w:rsidR="00263C59">
        <w:tab/>
        <w:t>2.7</w:t>
      </w:r>
      <w:r w:rsidR="00263C59">
        <w:tab/>
        <w:t>0.</w:t>
      </w:r>
      <w:r w:rsidR="00A27B18">
        <w:t>0</w:t>
      </w:r>
      <w:r w:rsidR="00263C59">
        <w:t>6</w:t>
      </w:r>
      <w:r w:rsidR="00263C59">
        <w:tab/>
        <w:t>6.7a</w:t>
      </w:r>
      <w:r w:rsidR="00263C59">
        <w:tab/>
        <w:t>2.5a</w:t>
      </w:r>
      <w:r w:rsidR="00263C59">
        <w:tab/>
        <w:t>0.6</w:t>
      </w:r>
      <w:r w:rsidR="008E6128">
        <w:t>a</w:t>
      </w:r>
    </w:p>
    <w:p w:rsidR="00A82357" w:rsidRDefault="00FB4C2F" w:rsidP="0048590A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1</w:t>
      </w:r>
      <w:r>
        <w:t xml:space="preserve"> Comparison using all three study sites</w:t>
      </w:r>
    </w:p>
    <w:p w:rsidR="00FB4C2F" w:rsidRPr="00FB4C2F" w:rsidRDefault="008E6128" w:rsidP="0048590A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2</w:t>
      </w:r>
      <w:r>
        <w:t xml:space="preserve"> Mean r</w:t>
      </w:r>
      <w:r w:rsidRPr="008E6128">
        <w:t>oot</w:t>
      </w:r>
      <w:r>
        <w:t xml:space="preserve"> mass, C, or N (all sites) </w:t>
      </w:r>
      <w:r w:rsidR="000A3768">
        <w:t>with the same letter are not significantly differe</w:t>
      </w:r>
      <w:r w:rsidR="00DD6CAD">
        <w:t>n</w:t>
      </w:r>
      <w:r w:rsidR="000A3768">
        <w:t xml:space="preserve">t </w:t>
      </w:r>
      <w:r w:rsidR="0048590A">
        <w:t>(p=0.10)</w:t>
      </w:r>
      <w:r w:rsidR="000A3768" w:rsidRPr="000A3768">
        <w:t xml:space="preserve"> </w:t>
      </w:r>
      <w:r w:rsidR="000A3768">
        <w:t>for a specific treatment comparison.</w:t>
      </w:r>
    </w:p>
    <w:p w:rsidR="003B233C" w:rsidRDefault="0048590A" w:rsidP="0048590A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3</w:t>
      </w:r>
      <w:r>
        <w:t>Comparison using only the PT</w:t>
      </w:r>
      <w:r w:rsidR="004269B9">
        <w:t>BE</w:t>
      </w:r>
      <w:r>
        <w:t>S and SF study sites.</w:t>
      </w:r>
    </w:p>
    <w:p w:rsidR="003B233C" w:rsidRDefault="003B233C" w:rsidP="0048590A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</w:p>
    <w:p w:rsidR="003B233C" w:rsidRDefault="00912F45" w:rsidP="003B233C">
      <w:pPr>
        <w:pBdr>
          <w:bottom w:val="single" w:sz="4" w:space="1" w:color="auto"/>
        </w:pBdr>
        <w:spacing w:after="0" w:line="240" w:lineRule="auto"/>
      </w:pPr>
      <w:proofErr w:type="gramStart"/>
      <w:r>
        <w:t>Table 14</w:t>
      </w:r>
      <w:r w:rsidR="003B233C">
        <w:t>.</w:t>
      </w:r>
      <w:proofErr w:type="gramEnd"/>
      <w:r w:rsidR="003B233C">
        <w:t xml:space="preserve">  Soil mineral N and C content in 2009 and 2012 as well as the differences between contents between 2012 and 2009 (2012-2009) for each treatment comparison.</w:t>
      </w:r>
    </w:p>
    <w:p w:rsidR="003B233C" w:rsidRDefault="003B233C" w:rsidP="003B233C">
      <w:pPr>
        <w:tabs>
          <w:tab w:val="left" w:pos="3060"/>
          <w:tab w:val="left" w:pos="5310"/>
          <w:tab w:val="left" w:pos="7380"/>
        </w:tabs>
        <w:spacing w:before="120" w:after="0" w:line="240" w:lineRule="auto"/>
        <w:rPr>
          <w:b/>
        </w:rPr>
      </w:pPr>
      <w:r>
        <w:rPr>
          <w:b/>
        </w:rPr>
        <w:tab/>
        <w:t>2009</w:t>
      </w:r>
      <w:r>
        <w:rPr>
          <w:b/>
        </w:rPr>
        <w:tab/>
        <w:t>2012</w:t>
      </w:r>
      <w:r>
        <w:rPr>
          <w:b/>
        </w:rPr>
        <w:tab/>
        <w:t xml:space="preserve"> 2012-2009</w:t>
      </w:r>
    </w:p>
    <w:p w:rsidR="003B233C" w:rsidRPr="00A82357" w:rsidRDefault="003B233C" w:rsidP="003B233C">
      <w:pPr>
        <w:tabs>
          <w:tab w:val="left" w:pos="2700"/>
          <w:tab w:val="left" w:pos="3600"/>
          <w:tab w:val="left" w:pos="5040"/>
          <w:tab w:val="left" w:pos="5940"/>
          <w:tab w:val="left" w:pos="7380"/>
          <w:tab w:val="left" w:pos="8280"/>
        </w:tabs>
        <w:spacing w:before="120" w:after="0" w:line="240" w:lineRule="auto"/>
        <w:rPr>
          <w:b/>
        </w:rPr>
      </w:pPr>
      <w:r w:rsidRPr="00A82357">
        <w:rPr>
          <w:b/>
        </w:rPr>
        <w:t>Treatment</w:t>
      </w:r>
      <w:r w:rsidRPr="00A82357">
        <w:rPr>
          <w:b/>
        </w:rPr>
        <w:tab/>
      </w:r>
      <w:r>
        <w:rPr>
          <w:b/>
        </w:rPr>
        <w:t>N</w:t>
      </w:r>
      <w:r w:rsidRPr="00A82357">
        <w:rPr>
          <w:b/>
        </w:rPr>
        <w:tab/>
      </w:r>
      <w:r>
        <w:rPr>
          <w:b/>
        </w:rPr>
        <w:t>C</w:t>
      </w:r>
      <w:r w:rsidRPr="00A82357">
        <w:rPr>
          <w:b/>
        </w:rPr>
        <w:tab/>
      </w:r>
      <w:r>
        <w:rPr>
          <w:b/>
        </w:rPr>
        <w:t>N</w:t>
      </w:r>
      <w:r>
        <w:rPr>
          <w:b/>
        </w:rPr>
        <w:tab/>
        <w:t>C</w:t>
      </w:r>
      <w:r>
        <w:rPr>
          <w:b/>
        </w:rPr>
        <w:tab/>
        <w:t>N</w:t>
      </w:r>
      <w:r>
        <w:rPr>
          <w:b/>
        </w:rPr>
        <w:tab/>
        <w:t>C</w:t>
      </w:r>
    </w:p>
    <w:p w:rsidR="003B233C" w:rsidRDefault="003B233C" w:rsidP="003B233C">
      <w:pPr>
        <w:tabs>
          <w:tab w:val="left" w:pos="2700"/>
          <w:tab w:val="left" w:pos="5580"/>
          <w:tab w:val="left" w:pos="6840"/>
          <w:tab w:val="left" w:pos="8100"/>
        </w:tabs>
        <w:spacing w:after="0" w:line="240" w:lineRule="auto"/>
      </w:pPr>
      <w:r>
        <w:tab/>
      </w:r>
      <w:proofErr w:type="gramStart"/>
      <w:r>
        <w:t>-------------------------------------(</w:t>
      </w:r>
      <w:proofErr w:type="gramEnd"/>
      <w:r>
        <w:t>Mg/ha)-------------------------------------</w:t>
      </w:r>
    </w:p>
    <w:p w:rsidR="003B233C" w:rsidRPr="00FB4C2F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  <w:vertAlign w:val="superscript"/>
        </w:rPr>
      </w:pPr>
      <w:r w:rsidRPr="00A82357">
        <w:rPr>
          <w:b/>
          <w:u w:val="single"/>
        </w:rPr>
        <w:t>CT and CW Comparison</w:t>
      </w:r>
      <w:r w:rsidRPr="00FB4C2F">
        <w:rPr>
          <w:vertAlign w:val="superscript"/>
        </w:rPr>
        <w:t>1</w:t>
      </w:r>
    </w:p>
    <w:p w:rsidR="003B233C" w:rsidRPr="000A3768" w:rsidRDefault="003B233C" w:rsidP="003B233C">
      <w:pPr>
        <w:tabs>
          <w:tab w:val="decimal" w:pos="2790"/>
          <w:tab w:val="decimal" w:pos="3690"/>
          <w:tab w:val="decimal" w:pos="5130"/>
          <w:tab w:val="decimal" w:pos="6030"/>
          <w:tab w:val="decimal" w:pos="7470"/>
          <w:tab w:val="decimal" w:pos="8370"/>
        </w:tabs>
        <w:spacing w:before="120" w:after="0" w:line="240" w:lineRule="auto"/>
        <w:rPr>
          <w:vertAlign w:val="superscript"/>
        </w:rPr>
      </w:pPr>
      <w:r>
        <w:t>CT</w:t>
      </w:r>
      <w:r>
        <w:tab/>
        <w:t>3.29</w:t>
      </w:r>
      <w:r>
        <w:tab/>
        <w:t>34.9</w:t>
      </w:r>
      <w:r>
        <w:tab/>
        <w:t>3.23</w:t>
      </w:r>
      <w:r>
        <w:tab/>
        <w:t>35.8</w:t>
      </w:r>
      <w:r>
        <w:tab/>
        <w:t>-0.06a</w:t>
      </w:r>
      <w:r>
        <w:tab/>
        <w:t>0.8a</w:t>
      </w:r>
      <w:r>
        <w:rPr>
          <w:vertAlign w:val="superscript"/>
        </w:rPr>
        <w:t>2</w:t>
      </w:r>
    </w:p>
    <w:p w:rsidR="003B233C" w:rsidRDefault="003B233C" w:rsidP="003B233C">
      <w:pPr>
        <w:tabs>
          <w:tab w:val="decimal" w:pos="2790"/>
          <w:tab w:val="decimal" w:pos="3690"/>
          <w:tab w:val="decimal" w:pos="5130"/>
          <w:tab w:val="decimal" w:pos="6030"/>
          <w:tab w:val="decimal" w:pos="7470"/>
          <w:tab w:val="decimal" w:pos="8370"/>
        </w:tabs>
        <w:spacing w:before="120" w:after="0" w:line="240" w:lineRule="auto"/>
      </w:pPr>
      <w:r>
        <w:t>CW</w:t>
      </w:r>
      <w:r>
        <w:tab/>
        <w:t>3.32</w:t>
      </w:r>
      <w:r>
        <w:tab/>
        <w:t>35.5</w:t>
      </w:r>
      <w:r>
        <w:tab/>
        <w:t>3.35</w:t>
      </w:r>
      <w:r>
        <w:tab/>
        <w:t>38.2</w:t>
      </w:r>
      <w:r>
        <w:tab/>
        <w:t>0.03a</w:t>
      </w:r>
      <w:r>
        <w:tab/>
        <w:t>2.6a</w:t>
      </w:r>
    </w:p>
    <w:p w:rsidR="003B233C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</w:pPr>
    </w:p>
    <w:p w:rsidR="003B233C" w:rsidRPr="00FB4C2F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  <w:vertAlign w:val="superscript"/>
        </w:rPr>
      </w:pPr>
      <w:r w:rsidRPr="00A82357">
        <w:rPr>
          <w:b/>
          <w:u w:val="single"/>
        </w:rPr>
        <w:t>CT</w:t>
      </w:r>
      <w:r>
        <w:rPr>
          <w:b/>
          <w:u w:val="single"/>
        </w:rPr>
        <w:t xml:space="preserve"> and SG </w:t>
      </w:r>
      <w:r w:rsidRPr="00A82357">
        <w:rPr>
          <w:b/>
          <w:u w:val="single"/>
        </w:rPr>
        <w:t>Comparison</w:t>
      </w:r>
      <w:r w:rsidRPr="00FB4C2F">
        <w:rPr>
          <w:vertAlign w:val="superscript"/>
        </w:rPr>
        <w:t>3</w:t>
      </w:r>
    </w:p>
    <w:p w:rsidR="003B233C" w:rsidRDefault="003B233C" w:rsidP="003B233C">
      <w:pPr>
        <w:tabs>
          <w:tab w:val="decimal" w:pos="2790"/>
          <w:tab w:val="decimal" w:pos="3690"/>
          <w:tab w:val="decimal" w:pos="5130"/>
          <w:tab w:val="decimal" w:pos="6030"/>
          <w:tab w:val="decimal" w:pos="7470"/>
          <w:tab w:val="decimal" w:pos="8370"/>
        </w:tabs>
        <w:spacing w:before="120" w:after="0" w:line="240" w:lineRule="auto"/>
      </w:pPr>
      <w:r>
        <w:t>CT</w:t>
      </w:r>
      <w:r>
        <w:tab/>
        <w:t>3.43</w:t>
      </w:r>
      <w:r>
        <w:tab/>
        <w:t>35.1</w:t>
      </w:r>
      <w:r>
        <w:tab/>
        <w:t>3.23</w:t>
      </w:r>
      <w:r>
        <w:tab/>
        <w:t>35.3</w:t>
      </w:r>
      <w:r>
        <w:tab/>
        <w:t>-0.20a</w:t>
      </w:r>
      <w:r>
        <w:tab/>
        <w:t>0.1a</w:t>
      </w:r>
    </w:p>
    <w:p w:rsidR="003B233C" w:rsidRDefault="003B233C" w:rsidP="003B233C">
      <w:pPr>
        <w:pBdr>
          <w:bottom w:val="single" w:sz="4" w:space="1" w:color="auto"/>
        </w:pBdr>
        <w:tabs>
          <w:tab w:val="decimal" w:pos="2790"/>
          <w:tab w:val="decimal" w:pos="3690"/>
          <w:tab w:val="decimal" w:pos="5130"/>
          <w:tab w:val="decimal" w:pos="6030"/>
          <w:tab w:val="decimal" w:pos="7470"/>
          <w:tab w:val="decimal" w:pos="8370"/>
        </w:tabs>
        <w:spacing w:before="120" w:after="0" w:line="240" w:lineRule="auto"/>
      </w:pPr>
      <w:r>
        <w:t>SG</w:t>
      </w:r>
      <w:r>
        <w:tab/>
        <w:t>3.14</w:t>
      </w:r>
      <w:r>
        <w:tab/>
        <w:t>33.9</w:t>
      </w:r>
      <w:r>
        <w:tab/>
        <w:t>3.16</w:t>
      </w:r>
      <w:r>
        <w:tab/>
        <w:t>36.1</w:t>
      </w:r>
      <w:r>
        <w:tab/>
        <w:t>-0.21a</w:t>
      </w:r>
      <w:r>
        <w:tab/>
        <w:t>2.2a</w:t>
      </w:r>
    </w:p>
    <w:p w:rsidR="003B233C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1</w:t>
      </w:r>
      <w:r>
        <w:t xml:space="preserve"> Comparison using all three study sites</w:t>
      </w:r>
    </w:p>
    <w:p w:rsidR="003B233C" w:rsidRPr="00FB4C2F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2</w:t>
      </w:r>
      <w:r>
        <w:t>Changes in N or C contents (2012-2009) with the same letter are not significantly different (p=0.10)</w:t>
      </w:r>
      <w:r w:rsidRPr="000A3768">
        <w:t xml:space="preserve"> </w:t>
      </w:r>
      <w:r>
        <w:t>for a specific treatment comparison.</w:t>
      </w:r>
    </w:p>
    <w:p w:rsidR="003B233C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3</w:t>
      </w:r>
      <w:r>
        <w:t>Comparison using only the PTBES and SF study sites.</w:t>
      </w:r>
    </w:p>
    <w:p w:rsidR="003B233C" w:rsidRDefault="003B233C" w:rsidP="003B233C">
      <w:r>
        <w:br w:type="page"/>
      </w:r>
    </w:p>
    <w:p w:rsidR="003B233C" w:rsidRDefault="00912F45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proofErr w:type="gramStart"/>
      <w:r>
        <w:lastRenderedPageBreak/>
        <w:t>Table 15</w:t>
      </w:r>
      <w:r w:rsidR="003B233C">
        <w:t>.</w:t>
      </w:r>
      <w:proofErr w:type="gramEnd"/>
      <w:r w:rsidR="003B233C">
        <w:t xml:space="preserve">  Soil microbial biomass C (mg/kg), labile C (mg/kg), dehydrogenase activity (mg/g), and potential C turnover rates (days) in December 2011.  For each comparison, means within a column followed by a different letter differ at P &lt; 0.10.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530"/>
        <w:gridCol w:w="1350"/>
        <w:gridCol w:w="1440"/>
        <w:gridCol w:w="1620"/>
      </w:tblGrid>
      <w:tr w:rsidR="003B233C" w:rsidTr="00C826ED"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</w:rPr>
            </w:pP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</w:rPr>
            </w:pPr>
            <w:r>
              <w:rPr>
                <w:b/>
              </w:rPr>
              <w:t>Treatment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center"/>
              <w:rPr>
                <w:b/>
              </w:rPr>
            </w:pPr>
            <w:r>
              <w:rPr>
                <w:b/>
              </w:rPr>
              <w:t>Microbial 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center"/>
              <w:rPr>
                <w:b/>
              </w:rPr>
            </w:pPr>
            <w:r>
              <w:rPr>
                <w:b/>
              </w:rPr>
              <w:t>Labile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center"/>
              <w:rPr>
                <w:b/>
              </w:rPr>
            </w:pPr>
            <w:r>
              <w:rPr>
                <w:b/>
              </w:rPr>
              <w:t>Turnover</w:t>
            </w:r>
          </w:p>
        </w:tc>
      </w:tr>
      <w:tr w:rsidR="003B233C" w:rsidTr="00C826ED"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CT and CW Comparison</w:t>
            </w:r>
            <w:r>
              <w:rPr>
                <w:b/>
                <w:u w:val="single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  <w:r>
              <w:t xml:space="preserve">    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375.8 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1037.3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3.9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64.4 a</w:t>
            </w: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  <w:r>
              <w:t xml:space="preserve">     CW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458.2 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 xml:space="preserve">  908.4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8.8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43.9 b</w:t>
            </w: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CT and SG Comparison</w:t>
            </w:r>
            <w:r>
              <w:rPr>
                <w:b/>
                <w:u w:val="single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  <w:r>
              <w:t xml:space="preserve">     CT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387.6 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905.6 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5.8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52.2 a</w:t>
            </w:r>
          </w:p>
        </w:tc>
      </w:tr>
      <w:tr w:rsidR="003B233C" w:rsidTr="00C826ED"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</w:pPr>
            <w:r>
              <w:t xml:space="preserve">     SG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439.2 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875.8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10.2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33C" w:rsidRDefault="003B233C" w:rsidP="00C826ED">
            <w:pPr>
              <w:tabs>
                <w:tab w:val="left" w:pos="1800"/>
                <w:tab w:val="left" w:pos="3060"/>
                <w:tab w:val="left" w:pos="4320"/>
                <w:tab w:val="left" w:pos="5580"/>
                <w:tab w:val="left" w:pos="6840"/>
                <w:tab w:val="left" w:pos="8100"/>
              </w:tabs>
              <w:jc w:val="right"/>
            </w:pPr>
            <w:r>
              <w:t>43.6 a</w:t>
            </w:r>
          </w:p>
        </w:tc>
      </w:tr>
    </w:tbl>
    <w:p w:rsidR="003B233C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1</w:t>
      </w:r>
      <w:r>
        <w:t>Comparison using all three study sites</w:t>
      </w:r>
    </w:p>
    <w:p w:rsidR="003B233C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2</w:t>
      </w:r>
      <w:r>
        <w:t>Comparison using only the PTBES and SF study sites.</w:t>
      </w:r>
    </w:p>
    <w:p w:rsidR="003B233C" w:rsidRPr="0048590A" w:rsidRDefault="003B233C" w:rsidP="003B233C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</w:p>
    <w:p w:rsidR="000D7AEB" w:rsidRDefault="00912F45" w:rsidP="000D7AEB">
      <w:pPr>
        <w:pBdr>
          <w:bottom w:val="single" w:sz="4" w:space="1" w:color="auto"/>
        </w:pBdr>
        <w:spacing w:after="0" w:line="240" w:lineRule="auto"/>
      </w:pPr>
      <w:proofErr w:type="gramStart"/>
      <w:r>
        <w:t>Table 16</w:t>
      </w:r>
      <w:r w:rsidR="000D7AEB">
        <w:t>.</w:t>
      </w:r>
      <w:proofErr w:type="gramEnd"/>
      <w:r w:rsidR="000D7AEB">
        <w:t xml:space="preserve">  Comparisons of mean soil water constituent concentration (mg/L) between the CT and CW as well as the CT and SG cropping systems.</w:t>
      </w:r>
    </w:p>
    <w:p w:rsidR="000D7AEB" w:rsidRPr="00A82357" w:rsidRDefault="000D7AEB" w:rsidP="000D7AEB">
      <w:pPr>
        <w:tabs>
          <w:tab w:val="left" w:pos="1620"/>
          <w:tab w:val="left" w:pos="2880"/>
          <w:tab w:val="left" w:pos="4320"/>
          <w:tab w:val="left" w:pos="5580"/>
          <w:tab w:val="left" w:pos="6930"/>
          <w:tab w:val="left" w:pos="8280"/>
        </w:tabs>
        <w:spacing w:before="120" w:after="0" w:line="240" w:lineRule="auto"/>
        <w:rPr>
          <w:b/>
        </w:rPr>
      </w:pPr>
      <w:r w:rsidRPr="00A82357">
        <w:rPr>
          <w:b/>
        </w:rPr>
        <w:t>Treatment</w:t>
      </w:r>
      <w:r w:rsidRPr="00A82357">
        <w:rPr>
          <w:b/>
        </w:rPr>
        <w:tab/>
        <w:t>NO</w:t>
      </w:r>
      <w:r w:rsidRPr="00A82357">
        <w:rPr>
          <w:b/>
          <w:vertAlign w:val="subscript"/>
        </w:rPr>
        <w:t>3</w:t>
      </w:r>
      <w:r w:rsidRPr="00A82357">
        <w:rPr>
          <w:b/>
        </w:rPr>
        <w:t>-N</w:t>
      </w:r>
      <w:r w:rsidRPr="00A82357">
        <w:rPr>
          <w:b/>
        </w:rPr>
        <w:tab/>
        <w:t>NH</w:t>
      </w:r>
      <w:r w:rsidRPr="00A82357">
        <w:rPr>
          <w:b/>
          <w:vertAlign w:val="subscript"/>
        </w:rPr>
        <w:t>4</w:t>
      </w:r>
      <w:r w:rsidRPr="00A82357">
        <w:rPr>
          <w:b/>
        </w:rPr>
        <w:t>-N</w:t>
      </w:r>
      <w:r w:rsidRPr="00A82357">
        <w:rPr>
          <w:b/>
        </w:rPr>
        <w:tab/>
        <w:t>Tot</w:t>
      </w:r>
      <w:r>
        <w:rPr>
          <w:b/>
        </w:rPr>
        <w:t>al N</w:t>
      </w:r>
      <w:r>
        <w:rPr>
          <w:b/>
        </w:rPr>
        <w:tab/>
        <w:t>Organic N</w:t>
      </w:r>
      <w:r>
        <w:rPr>
          <w:b/>
        </w:rPr>
        <w:tab/>
        <w:t>Total C</w:t>
      </w:r>
      <w:r>
        <w:rPr>
          <w:b/>
        </w:rPr>
        <w:tab/>
        <w:t>Organic C</w:t>
      </w:r>
    </w:p>
    <w:p w:rsidR="000D7AEB" w:rsidRDefault="000D7AEB" w:rsidP="000D7AEB">
      <w:pPr>
        <w:tabs>
          <w:tab w:val="left" w:pos="2790"/>
          <w:tab w:val="left" w:pos="5580"/>
          <w:tab w:val="left" w:pos="6840"/>
          <w:tab w:val="left" w:pos="8100"/>
        </w:tabs>
        <w:spacing w:after="0" w:line="240" w:lineRule="auto"/>
      </w:pPr>
      <w:r>
        <w:tab/>
      </w:r>
      <w:proofErr w:type="gramStart"/>
      <w:r>
        <w:t>-----------------------------------(</w:t>
      </w:r>
      <w:proofErr w:type="gramEnd"/>
      <w:r>
        <w:t>mg/L)-----------------------------------</w:t>
      </w:r>
    </w:p>
    <w:p w:rsidR="000D7AEB" w:rsidRPr="00FB4C2F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  <w:vertAlign w:val="superscript"/>
        </w:rPr>
      </w:pPr>
      <w:r w:rsidRPr="00A82357">
        <w:rPr>
          <w:b/>
          <w:u w:val="single"/>
        </w:rPr>
        <w:t>CT and CW Comparison</w:t>
      </w:r>
      <w:r w:rsidRPr="00FB4C2F">
        <w:rPr>
          <w:vertAlign w:val="superscript"/>
        </w:rPr>
        <w:t>1</w:t>
      </w:r>
    </w:p>
    <w:p w:rsidR="000D7AEB" w:rsidRDefault="000D7AEB" w:rsidP="000D7AEB">
      <w:pPr>
        <w:tabs>
          <w:tab w:val="decimal" w:pos="1800"/>
          <w:tab w:val="decimal" w:pos="3150"/>
          <w:tab w:val="decimal" w:pos="4500"/>
          <w:tab w:val="decimal" w:pos="5850"/>
          <w:tab w:val="decimal" w:pos="7200"/>
          <w:tab w:val="decimal" w:pos="8550"/>
        </w:tabs>
        <w:spacing w:before="120" w:after="0" w:line="240" w:lineRule="auto"/>
      </w:pPr>
      <w:r>
        <w:t>CT</w:t>
      </w:r>
      <w:r>
        <w:tab/>
        <w:t>2.46a</w:t>
      </w:r>
      <w:r>
        <w:rPr>
          <w:vertAlign w:val="superscript"/>
        </w:rPr>
        <w:t>2</w:t>
      </w:r>
      <w:r>
        <w:tab/>
        <w:t>0.48a</w:t>
      </w:r>
      <w:r>
        <w:tab/>
        <w:t>3.95a</w:t>
      </w:r>
      <w:r>
        <w:tab/>
        <w:t>0.99a</w:t>
      </w:r>
      <w:r>
        <w:tab/>
        <w:t>13.3a</w:t>
      </w:r>
      <w:r>
        <w:tab/>
        <w:t>5.70a</w:t>
      </w:r>
    </w:p>
    <w:p w:rsidR="000D7AEB" w:rsidRDefault="000D7AEB" w:rsidP="000D7AEB">
      <w:pPr>
        <w:tabs>
          <w:tab w:val="decimal" w:pos="1800"/>
          <w:tab w:val="decimal" w:pos="3150"/>
          <w:tab w:val="decimal" w:pos="4500"/>
          <w:tab w:val="decimal" w:pos="5850"/>
          <w:tab w:val="decimal" w:pos="7200"/>
          <w:tab w:val="decimal" w:pos="8550"/>
        </w:tabs>
        <w:spacing w:before="120" w:after="0" w:line="240" w:lineRule="auto"/>
      </w:pPr>
      <w:r>
        <w:t>CW</w:t>
      </w:r>
      <w:r>
        <w:tab/>
        <w:t>0.37b</w:t>
      </w:r>
      <w:r>
        <w:tab/>
        <w:t>0.12a</w:t>
      </w:r>
      <w:r>
        <w:tab/>
        <w:t>0.79b</w:t>
      </w:r>
      <w:r>
        <w:tab/>
        <w:t>0.31b</w:t>
      </w:r>
      <w:r>
        <w:tab/>
        <w:t>14.7a</w:t>
      </w:r>
      <w:r>
        <w:tab/>
        <w:t>4.48a</w:t>
      </w:r>
    </w:p>
    <w:p w:rsidR="000D7AEB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</w:pPr>
    </w:p>
    <w:p w:rsidR="000D7AEB" w:rsidRPr="00FB4C2F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before="120" w:after="0" w:line="240" w:lineRule="auto"/>
        <w:rPr>
          <w:b/>
          <w:u w:val="single"/>
          <w:vertAlign w:val="superscript"/>
        </w:rPr>
      </w:pPr>
      <w:r w:rsidRPr="00A82357">
        <w:rPr>
          <w:b/>
          <w:u w:val="single"/>
        </w:rPr>
        <w:t>CT</w:t>
      </w:r>
      <w:bookmarkStart w:id="0" w:name="_GoBack"/>
      <w:bookmarkEnd w:id="0"/>
      <w:r>
        <w:rPr>
          <w:b/>
          <w:u w:val="single"/>
        </w:rPr>
        <w:t xml:space="preserve"> and SG </w:t>
      </w:r>
      <w:r w:rsidRPr="00A82357">
        <w:rPr>
          <w:b/>
          <w:u w:val="single"/>
        </w:rPr>
        <w:t>Comparison</w:t>
      </w:r>
      <w:r w:rsidRPr="00FB4C2F">
        <w:rPr>
          <w:vertAlign w:val="superscript"/>
        </w:rPr>
        <w:t>3</w:t>
      </w:r>
    </w:p>
    <w:p w:rsidR="000D7AEB" w:rsidRDefault="000D7AEB" w:rsidP="000D7AEB">
      <w:pPr>
        <w:tabs>
          <w:tab w:val="decimal" w:pos="1800"/>
          <w:tab w:val="decimal" w:pos="3150"/>
          <w:tab w:val="decimal" w:pos="4500"/>
          <w:tab w:val="decimal" w:pos="5850"/>
          <w:tab w:val="decimal" w:pos="7200"/>
          <w:tab w:val="decimal" w:pos="8550"/>
        </w:tabs>
        <w:spacing w:before="120" w:after="0" w:line="240" w:lineRule="auto"/>
      </w:pPr>
      <w:r>
        <w:t>CT</w:t>
      </w:r>
      <w:r>
        <w:tab/>
        <w:t>3.31a</w:t>
      </w:r>
      <w:r>
        <w:tab/>
        <w:t>0.56a</w:t>
      </w:r>
      <w:r>
        <w:tab/>
        <w:t>5.12a</w:t>
      </w:r>
      <w:r>
        <w:tab/>
        <w:t>1.21a</w:t>
      </w:r>
      <w:r>
        <w:tab/>
        <w:t>11.98a</w:t>
      </w:r>
      <w:r>
        <w:tab/>
        <w:t>5.74a</w:t>
      </w:r>
    </w:p>
    <w:p w:rsidR="000D7AEB" w:rsidRDefault="000D7AEB" w:rsidP="000D7AEB">
      <w:pPr>
        <w:pBdr>
          <w:bottom w:val="single" w:sz="4" w:space="1" w:color="auto"/>
        </w:pBdr>
        <w:tabs>
          <w:tab w:val="decimal" w:pos="1800"/>
          <w:tab w:val="decimal" w:pos="3150"/>
          <w:tab w:val="decimal" w:pos="4500"/>
          <w:tab w:val="decimal" w:pos="5850"/>
          <w:tab w:val="decimal" w:pos="7200"/>
          <w:tab w:val="decimal" w:pos="8550"/>
        </w:tabs>
        <w:spacing w:before="120" w:after="0" w:line="240" w:lineRule="auto"/>
      </w:pPr>
      <w:r>
        <w:t>SG</w:t>
      </w:r>
      <w:r>
        <w:tab/>
        <w:t>0.39b</w:t>
      </w:r>
      <w:r>
        <w:tab/>
        <w:t>0.09a</w:t>
      </w:r>
      <w:r>
        <w:tab/>
        <w:t>0.73a</w:t>
      </w:r>
      <w:r>
        <w:tab/>
        <w:t>0.25b</w:t>
      </w:r>
      <w:r>
        <w:tab/>
        <w:t>15.15a</w:t>
      </w:r>
      <w:r>
        <w:tab/>
        <w:t>2.46a</w:t>
      </w:r>
    </w:p>
    <w:p w:rsidR="000D7AEB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1</w:t>
      </w:r>
      <w:r>
        <w:t xml:space="preserve"> Comparison using all three study sites</w:t>
      </w:r>
    </w:p>
    <w:p w:rsidR="000D7AEB" w:rsidRPr="00FB4C2F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2</w:t>
      </w:r>
      <w:r>
        <w:t>Means for a specific constituent and comparison with the same letter do not significantly differ (p=0.10)</w:t>
      </w:r>
    </w:p>
    <w:p w:rsidR="000D7AEB" w:rsidRPr="0048590A" w:rsidRDefault="000D7AEB" w:rsidP="000D7AEB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  <w:r>
        <w:rPr>
          <w:vertAlign w:val="superscript"/>
        </w:rPr>
        <w:t>3</w:t>
      </w:r>
      <w:r>
        <w:t>Comparison using only the PTBES and SF study sites.</w:t>
      </w:r>
    </w:p>
    <w:p w:rsidR="003B233C" w:rsidRDefault="003B233C" w:rsidP="0048590A">
      <w:pPr>
        <w:tabs>
          <w:tab w:val="left" w:pos="1800"/>
          <w:tab w:val="left" w:pos="3060"/>
          <w:tab w:val="left" w:pos="4320"/>
          <w:tab w:val="left" w:pos="5580"/>
          <w:tab w:val="left" w:pos="6840"/>
          <w:tab w:val="left" w:pos="8100"/>
        </w:tabs>
        <w:spacing w:after="0" w:line="240" w:lineRule="auto"/>
      </w:pPr>
    </w:p>
    <w:sectPr w:rsidR="003B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DA"/>
    <w:rsid w:val="000A3768"/>
    <w:rsid w:val="000B2903"/>
    <w:rsid w:val="000D1DDA"/>
    <w:rsid w:val="000D7AEB"/>
    <w:rsid w:val="000E6820"/>
    <w:rsid w:val="00170E76"/>
    <w:rsid w:val="00195858"/>
    <w:rsid w:val="001B79EC"/>
    <w:rsid w:val="00203629"/>
    <w:rsid w:val="00263C59"/>
    <w:rsid w:val="00282E76"/>
    <w:rsid w:val="002A4440"/>
    <w:rsid w:val="003B233C"/>
    <w:rsid w:val="003E1330"/>
    <w:rsid w:val="003E7FA4"/>
    <w:rsid w:val="004269B9"/>
    <w:rsid w:val="0048590A"/>
    <w:rsid w:val="00873C4C"/>
    <w:rsid w:val="00877111"/>
    <w:rsid w:val="008E6128"/>
    <w:rsid w:val="00912F45"/>
    <w:rsid w:val="009D3BEC"/>
    <w:rsid w:val="00A27B18"/>
    <w:rsid w:val="00A82357"/>
    <w:rsid w:val="00B63F0C"/>
    <w:rsid w:val="00BB43F3"/>
    <w:rsid w:val="00C758F9"/>
    <w:rsid w:val="00CC617B"/>
    <w:rsid w:val="00DD6CAD"/>
    <w:rsid w:val="00EB0A46"/>
    <w:rsid w:val="00FB4C2F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6</cp:revision>
  <dcterms:created xsi:type="dcterms:W3CDTF">2013-09-19T21:46:00Z</dcterms:created>
  <dcterms:modified xsi:type="dcterms:W3CDTF">2013-09-27T14:29:00Z</dcterms:modified>
</cp:coreProperties>
</file>