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2" w:rsidRPr="00FE6446" w:rsidRDefault="00D01281" w:rsidP="00FE6446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 w:rsidRPr="00A854A9">
        <w:rPr>
          <w:rFonts w:ascii="Times New Roman" w:hAnsi="Times New Roman" w:cs="Times New Roman"/>
          <w:noProof/>
          <w:color w:val="FF0000"/>
        </w:rPr>
        <w:drawing>
          <wp:inline distT="0" distB="0" distL="0" distR="0">
            <wp:extent cx="5467350" cy="25527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1281" w:rsidRPr="00A854A9" w:rsidRDefault="00D01281" w:rsidP="00C7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54A9">
        <w:rPr>
          <w:rFonts w:ascii="Times New Roman" w:hAnsi="Times New Roman" w:cs="Times New Roman"/>
          <w:sz w:val="24"/>
          <w:szCs w:val="24"/>
        </w:rPr>
        <w:t>Figure 1.</w:t>
      </w:r>
      <w:proofErr w:type="gramEnd"/>
      <w:r w:rsidRPr="00A854A9">
        <w:rPr>
          <w:rFonts w:ascii="Times New Roman" w:hAnsi="Times New Roman" w:cs="Times New Roman"/>
          <w:sz w:val="24"/>
          <w:szCs w:val="24"/>
        </w:rPr>
        <w:t xml:space="preserve">  Average fall cumulative stem length (mean ± SE, n = 5) of dewberry plants exposure to 9s of flame cultivation with an open flame cultivator, receiving either one exposure or two exposures at different timings.  Means with similar letters are not </w:t>
      </w:r>
      <w:proofErr w:type="spellStart"/>
      <w:r w:rsidRPr="00A854A9">
        <w:rPr>
          <w:rFonts w:ascii="Times New Roman" w:hAnsi="Times New Roman" w:cs="Times New Roman"/>
          <w:sz w:val="24"/>
          <w:szCs w:val="24"/>
        </w:rPr>
        <w:t>statiscially</w:t>
      </w:r>
      <w:proofErr w:type="spellEnd"/>
      <w:r w:rsidRPr="00A854A9">
        <w:rPr>
          <w:rFonts w:ascii="Times New Roman" w:hAnsi="Times New Roman" w:cs="Times New Roman"/>
          <w:sz w:val="24"/>
          <w:szCs w:val="24"/>
        </w:rPr>
        <w:t xml:space="preserve"> different (DMRT </w:t>
      </w:r>
      <w:r w:rsidRPr="00A854A9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A854A9">
        <w:rPr>
          <w:rFonts w:ascii="Times New Roman" w:hAnsi="Times New Roman" w:cs="Times New Roman"/>
          <w:sz w:val="24"/>
          <w:szCs w:val="24"/>
        </w:rPr>
        <w:t xml:space="preserve">≤ 0.05).  </w:t>
      </w:r>
    </w:p>
    <w:p w:rsidR="007D5B42" w:rsidRPr="00A854A9" w:rsidRDefault="007D5B4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2180" w:rsidRPr="00A854A9" w:rsidRDefault="00072180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2555" w:rsidRPr="00A854A9" w:rsidSect="00212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B6B" w:rsidRDefault="008E3B6B" w:rsidP="00FD4FC0">
      <w:pPr>
        <w:spacing w:after="0" w:line="240" w:lineRule="auto"/>
      </w:pPr>
      <w:r>
        <w:separator/>
      </w:r>
    </w:p>
  </w:endnote>
  <w:endnote w:type="continuationSeparator" w:id="0">
    <w:p w:rsidR="008E3B6B" w:rsidRDefault="008E3B6B" w:rsidP="00FD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60141"/>
      <w:docPartObj>
        <w:docPartGallery w:val="Page Numbers (Bottom of Page)"/>
        <w:docPartUnique/>
      </w:docPartObj>
    </w:sdtPr>
    <w:sdtContent>
      <w:p w:rsidR="00FD4FC0" w:rsidRDefault="00794136">
        <w:pPr>
          <w:pStyle w:val="Footer"/>
          <w:jc w:val="center"/>
        </w:pPr>
        <w:fldSimple w:instr=" PAGE   \* MERGEFORMAT ">
          <w:r w:rsidR="00DB3094">
            <w:rPr>
              <w:noProof/>
            </w:rPr>
            <w:t>1</w:t>
          </w:r>
        </w:fldSimple>
      </w:p>
    </w:sdtContent>
  </w:sdt>
  <w:p w:rsidR="00FD4FC0" w:rsidRDefault="00FD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B6B" w:rsidRDefault="008E3B6B" w:rsidP="00FD4FC0">
      <w:pPr>
        <w:spacing w:after="0" w:line="240" w:lineRule="auto"/>
      </w:pPr>
      <w:r>
        <w:separator/>
      </w:r>
    </w:p>
  </w:footnote>
  <w:footnote w:type="continuationSeparator" w:id="0">
    <w:p w:rsidR="008E3B6B" w:rsidRDefault="008E3B6B" w:rsidP="00FD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8CF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F14A6C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374A5C"/>
    <w:multiLevelType w:val="hybridMultilevel"/>
    <w:tmpl w:val="981E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Weed Techn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f0vxp9z7aprfuezxz0522dsp9fr9s9fwet5&quot;&gt;Katie Comp Lib&lt;record-ids&gt;&lt;item&gt;840&lt;/item&gt;&lt;item&gt;1456&lt;/item&gt;&lt;item&gt;4366&lt;/item&gt;&lt;item&gt;4367&lt;/item&gt;&lt;item&gt;4369&lt;/item&gt;&lt;item&gt;4373&lt;/item&gt;&lt;item&gt;4523&lt;/item&gt;&lt;item&gt;4524&lt;/item&gt;&lt;item&gt;4527&lt;/item&gt;&lt;item&gt;4540&lt;/item&gt;&lt;item&gt;4561&lt;/item&gt;&lt;item&gt;4574&lt;/item&gt;&lt;/record-ids&gt;&lt;/item&gt;&lt;/Libraries&gt;"/>
  </w:docVars>
  <w:rsids>
    <w:rsidRoot w:val="004A75C1"/>
    <w:rsid w:val="0001131F"/>
    <w:rsid w:val="00062C65"/>
    <w:rsid w:val="00072180"/>
    <w:rsid w:val="00075354"/>
    <w:rsid w:val="00083FCA"/>
    <w:rsid w:val="00085F97"/>
    <w:rsid w:val="0009728D"/>
    <w:rsid w:val="000B0289"/>
    <w:rsid w:val="000B4820"/>
    <w:rsid w:val="000E3517"/>
    <w:rsid w:val="000E44A3"/>
    <w:rsid w:val="000E658C"/>
    <w:rsid w:val="001064F4"/>
    <w:rsid w:val="0010738A"/>
    <w:rsid w:val="0012111F"/>
    <w:rsid w:val="00140146"/>
    <w:rsid w:val="001423A1"/>
    <w:rsid w:val="001B3205"/>
    <w:rsid w:val="001C1447"/>
    <w:rsid w:val="001C2BA0"/>
    <w:rsid w:val="001E1637"/>
    <w:rsid w:val="001F6595"/>
    <w:rsid w:val="002125BE"/>
    <w:rsid w:val="002156BD"/>
    <w:rsid w:val="00224570"/>
    <w:rsid w:val="002335EF"/>
    <w:rsid w:val="00293802"/>
    <w:rsid w:val="002D74CC"/>
    <w:rsid w:val="002E452F"/>
    <w:rsid w:val="002F0CDC"/>
    <w:rsid w:val="00311067"/>
    <w:rsid w:val="00314C13"/>
    <w:rsid w:val="00316BBE"/>
    <w:rsid w:val="00350F64"/>
    <w:rsid w:val="00355E6C"/>
    <w:rsid w:val="00382E39"/>
    <w:rsid w:val="003852C9"/>
    <w:rsid w:val="003A07A8"/>
    <w:rsid w:val="003D6915"/>
    <w:rsid w:val="003E29E6"/>
    <w:rsid w:val="003F1777"/>
    <w:rsid w:val="003F5622"/>
    <w:rsid w:val="004162A3"/>
    <w:rsid w:val="00424615"/>
    <w:rsid w:val="004265F3"/>
    <w:rsid w:val="004339B8"/>
    <w:rsid w:val="00433FF9"/>
    <w:rsid w:val="00443F8C"/>
    <w:rsid w:val="004523A0"/>
    <w:rsid w:val="004562DE"/>
    <w:rsid w:val="0045793D"/>
    <w:rsid w:val="00460916"/>
    <w:rsid w:val="00480E70"/>
    <w:rsid w:val="004A75C1"/>
    <w:rsid w:val="004B1F8D"/>
    <w:rsid w:val="004D2555"/>
    <w:rsid w:val="004E1B43"/>
    <w:rsid w:val="00503334"/>
    <w:rsid w:val="00536F12"/>
    <w:rsid w:val="00550864"/>
    <w:rsid w:val="00563AA0"/>
    <w:rsid w:val="00593131"/>
    <w:rsid w:val="005A1471"/>
    <w:rsid w:val="005B24E7"/>
    <w:rsid w:val="005B5E1E"/>
    <w:rsid w:val="005B6181"/>
    <w:rsid w:val="005E3BDA"/>
    <w:rsid w:val="005F275F"/>
    <w:rsid w:val="00603A0F"/>
    <w:rsid w:val="00617532"/>
    <w:rsid w:val="006340F9"/>
    <w:rsid w:val="006C273B"/>
    <w:rsid w:val="006E3A0D"/>
    <w:rsid w:val="006F7CF5"/>
    <w:rsid w:val="00706BAD"/>
    <w:rsid w:val="00730C60"/>
    <w:rsid w:val="00744647"/>
    <w:rsid w:val="0075534E"/>
    <w:rsid w:val="00775709"/>
    <w:rsid w:val="007819C3"/>
    <w:rsid w:val="00794136"/>
    <w:rsid w:val="007D4C87"/>
    <w:rsid w:val="007D5B42"/>
    <w:rsid w:val="008000C5"/>
    <w:rsid w:val="0082528D"/>
    <w:rsid w:val="00830372"/>
    <w:rsid w:val="008571F9"/>
    <w:rsid w:val="008635F5"/>
    <w:rsid w:val="008658C4"/>
    <w:rsid w:val="008A3E31"/>
    <w:rsid w:val="008E3B6B"/>
    <w:rsid w:val="009007DD"/>
    <w:rsid w:val="0097503A"/>
    <w:rsid w:val="009A0272"/>
    <w:rsid w:val="009B48A4"/>
    <w:rsid w:val="009F11F2"/>
    <w:rsid w:val="00A01EA1"/>
    <w:rsid w:val="00A20E83"/>
    <w:rsid w:val="00A552F4"/>
    <w:rsid w:val="00A64C4E"/>
    <w:rsid w:val="00A81257"/>
    <w:rsid w:val="00A84DD2"/>
    <w:rsid w:val="00A854A9"/>
    <w:rsid w:val="00AA7232"/>
    <w:rsid w:val="00AC4AE0"/>
    <w:rsid w:val="00AE32A4"/>
    <w:rsid w:val="00B00003"/>
    <w:rsid w:val="00B26094"/>
    <w:rsid w:val="00B47BB0"/>
    <w:rsid w:val="00B578C5"/>
    <w:rsid w:val="00B71A3B"/>
    <w:rsid w:val="00BA7243"/>
    <w:rsid w:val="00BB375B"/>
    <w:rsid w:val="00BB59A9"/>
    <w:rsid w:val="00C0535A"/>
    <w:rsid w:val="00C37074"/>
    <w:rsid w:val="00C43C20"/>
    <w:rsid w:val="00C51463"/>
    <w:rsid w:val="00C569B5"/>
    <w:rsid w:val="00C61555"/>
    <w:rsid w:val="00C70794"/>
    <w:rsid w:val="00C854D0"/>
    <w:rsid w:val="00C953D5"/>
    <w:rsid w:val="00CE40D9"/>
    <w:rsid w:val="00CE63DE"/>
    <w:rsid w:val="00CF53D1"/>
    <w:rsid w:val="00D01281"/>
    <w:rsid w:val="00D70C74"/>
    <w:rsid w:val="00D73791"/>
    <w:rsid w:val="00D81D0D"/>
    <w:rsid w:val="00D826B9"/>
    <w:rsid w:val="00D8630D"/>
    <w:rsid w:val="00DB3094"/>
    <w:rsid w:val="00DC17A5"/>
    <w:rsid w:val="00E007DD"/>
    <w:rsid w:val="00E114E3"/>
    <w:rsid w:val="00E1230B"/>
    <w:rsid w:val="00E4782B"/>
    <w:rsid w:val="00E73ACF"/>
    <w:rsid w:val="00E92C26"/>
    <w:rsid w:val="00EA5522"/>
    <w:rsid w:val="00EF319A"/>
    <w:rsid w:val="00EF3C50"/>
    <w:rsid w:val="00F240E9"/>
    <w:rsid w:val="00F25B21"/>
    <w:rsid w:val="00F50F62"/>
    <w:rsid w:val="00F95F85"/>
    <w:rsid w:val="00FA54EC"/>
    <w:rsid w:val="00FD0A17"/>
    <w:rsid w:val="00FD4FC0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  <w:style w:type="paragraph" w:styleId="Header">
    <w:name w:val="header"/>
    <w:basedOn w:val="Normal"/>
    <w:link w:val="HeaderChar"/>
    <w:uiPriority w:val="99"/>
    <w:semiHidden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FC0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C0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istrator\My%20Documents\Katie%20Fire\Dewberry%20Timing\analysis%20all\Analysis%20by%20Site\SB\SB_Dewberry%20tim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Fall Dewberry Cumulative Stem Length</a:t>
            </a:r>
          </a:p>
        </c:rich>
      </c:tx>
      <c:layout>
        <c:manualLayout>
          <c:xMode val="edge"/>
          <c:yMode val="edge"/>
          <c:x val="0.18222769605468911"/>
          <c:y val="1.3161222931607085E-2"/>
        </c:manualLayout>
      </c:layout>
    </c:title>
    <c:plotArea>
      <c:layout>
        <c:manualLayout>
          <c:layoutTarget val="inner"/>
          <c:xMode val="edge"/>
          <c:yMode val="edge"/>
          <c:x val="6.4756168801783906E-2"/>
          <c:y val="0.13533165953898832"/>
          <c:w val="0.9273575688803386"/>
          <c:h val="0.71416503112601704"/>
        </c:manualLayout>
      </c:layout>
      <c:barChart>
        <c:barDir val="col"/>
        <c:grouping val="clustered"/>
        <c:ser>
          <c:idx val="0"/>
          <c:order val="0"/>
          <c:tx>
            <c:v>fall length</c:v>
          </c:tx>
          <c:errBars>
            <c:errBarType val="both"/>
            <c:errValType val="cust"/>
            <c:plus>
              <c:numRef>
                <c:f>'fall length'!$D$12:$D$18</c:f>
                <c:numCache>
                  <c:formatCode>General</c:formatCode>
                  <c:ptCount val="7"/>
                  <c:pt idx="0">
                    <c:v>24.027999999999999</c:v>
                  </c:pt>
                  <c:pt idx="1">
                    <c:v>15.209</c:v>
                  </c:pt>
                  <c:pt idx="2">
                    <c:v>37.206000000000003</c:v>
                  </c:pt>
                  <c:pt idx="3">
                    <c:v>26.781999999999989</c:v>
                  </c:pt>
                  <c:pt idx="4">
                    <c:v>2.2040000000000002</c:v>
                  </c:pt>
                  <c:pt idx="5">
                    <c:v>5.1059999999999945</c:v>
                  </c:pt>
                  <c:pt idx="6">
                    <c:v>63.317999999999998</c:v>
                  </c:pt>
                </c:numCache>
              </c:numRef>
            </c:plus>
            <c:minus>
              <c:numRef>
                <c:f>'fall length'!$D$12:$D$18</c:f>
                <c:numCache>
                  <c:formatCode>General</c:formatCode>
                  <c:ptCount val="7"/>
                  <c:pt idx="0">
                    <c:v>24.027999999999999</c:v>
                  </c:pt>
                  <c:pt idx="1">
                    <c:v>15.209</c:v>
                  </c:pt>
                  <c:pt idx="2">
                    <c:v>37.206000000000003</c:v>
                  </c:pt>
                  <c:pt idx="3">
                    <c:v>26.781999999999989</c:v>
                  </c:pt>
                  <c:pt idx="4">
                    <c:v>2.2040000000000002</c:v>
                  </c:pt>
                  <c:pt idx="5">
                    <c:v>5.1059999999999945</c:v>
                  </c:pt>
                  <c:pt idx="6">
                    <c:v>63.317999999999998</c:v>
                  </c:pt>
                </c:numCache>
              </c:numRef>
            </c:minus>
          </c:errBars>
          <c:cat>
            <c:strRef>
              <c:f>'fall length'!$A$12:$A$18</c:f>
              <c:strCache>
                <c:ptCount val="7"/>
                <c:pt idx="0">
                  <c:v>June</c:v>
                </c:pt>
                <c:pt idx="1">
                  <c:v>July</c:v>
                </c:pt>
                <c:pt idx="2">
                  <c:v>August</c:v>
                </c:pt>
                <c:pt idx="3">
                  <c:v>June/July</c:v>
                </c:pt>
                <c:pt idx="4">
                  <c:v>June/August</c:v>
                </c:pt>
                <c:pt idx="5">
                  <c:v>July/August</c:v>
                </c:pt>
                <c:pt idx="6">
                  <c:v>None</c:v>
                </c:pt>
              </c:strCache>
            </c:strRef>
          </c:cat>
          <c:val>
            <c:numRef>
              <c:f>'fall length'!$B$12:$B$18</c:f>
              <c:numCache>
                <c:formatCode>General</c:formatCode>
                <c:ptCount val="7"/>
                <c:pt idx="0">
                  <c:v>96.26</c:v>
                </c:pt>
                <c:pt idx="1">
                  <c:v>77.92</c:v>
                </c:pt>
                <c:pt idx="2">
                  <c:v>48.339999999999996</c:v>
                </c:pt>
                <c:pt idx="3">
                  <c:v>37.339999999999996</c:v>
                </c:pt>
                <c:pt idx="4">
                  <c:v>3.58</c:v>
                </c:pt>
                <c:pt idx="5">
                  <c:v>6.92</c:v>
                </c:pt>
                <c:pt idx="6">
                  <c:v>320.02</c:v>
                </c:pt>
              </c:numCache>
            </c:numRef>
          </c:val>
        </c:ser>
        <c:axId val="88803200"/>
        <c:axId val="88805376"/>
      </c:barChart>
      <c:catAx>
        <c:axId val="88803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Treatment</a:t>
                </a:r>
              </a:p>
            </c:rich>
          </c:tx>
          <c:layout>
            <c:manualLayout>
              <c:xMode val="edge"/>
              <c:yMode val="edge"/>
              <c:x val="0.45047949849854008"/>
              <c:y val="0.92923105388150162"/>
            </c:manualLayout>
          </c:layout>
        </c:title>
        <c:maj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88805376"/>
        <c:crosses val="autoZero"/>
        <c:auto val="1"/>
        <c:lblAlgn val="ctr"/>
        <c:lblOffset val="100"/>
      </c:catAx>
      <c:valAx>
        <c:axId val="8880537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en-US" sz="1200"/>
                  <a:t>cm</a:t>
                </a:r>
              </a:p>
            </c:rich>
          </c:tx>
          <c:layout>
            <c:manualLayout>
              <c:xMode val="edge"/>
              <c:yMode val="edge"/>
              <c:x val="1.7567560152541909E-2"/>
              <c:y val="3.2999177341638271E-2"/>
            </c:manualLayout>
          </c:layout>
        </c:title>
        <c:numFmt formatCode="General" sourceLinked="1"/>
        <c:tickLblPos val="nextTo"/>
        <c:crossAx val="88803200"/>
        <c:crosses val="autoZero"/>
        <c:crossBetween val="between"/>
        <c:majorUnit val="100"/>
      </c:valAx>
    </c:plotArea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0.89455</cdr:x>
      <cdr:y>0.16285</cdr:y>
    </cdr:from>
    <cdr:to>
      <cdr:x>0.96134</cdr:x>
      <cdr:y>0.23424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4848225" y="695325"/>
          <a:ext cx="361950" cy="304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0.08084</cdr:x>
      <cdr:y>0.57109</cdr:y>
    </cdr:from>
    <cdr:to>
      <cdr:x>0.18629</cdr:x>
      <cdr:y>0.64694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8150" y="2438400"/>
          <a:ext cx="571500" cy="32385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0.73111</cdr:x>
      <cdr:y>0.72278</cdr:y>
    </cdr:from>
    <cdr:to>
      <cdr:x>0.83656</cdr:x>
      <cdr:y>0.79863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962400" y="3086100"/>
          <a:ext cx="571500" cy="32385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0.60633</cdr:x>
      <cdr:y>0.76294</cdr:y>
    </cdr:from>
    <cdr:to>
      <cdr:x>0.69947</cdr:x>
      <cdr:y>0.8254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286124" y="3257549"/>
          <a:ext cx="504825" cy="266701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0.50264</cdr:x>
      <cdr:y>0.66924</cdr:y>
    </cdr:from>
    <cdr:to>
      <cdr:x>0.5413</cdr:x>
      <cdr:y>0.74509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2724150" y="2857500"/>
          <a:ext cx="209549" cy="32385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0.34271</cdr:x>
      <cdr:y>0.62017</cdr:y>
    </cdr:from>
    <cdr:to>
      <cdr:x>0.44815</cdr:x>
      <cdr:y>0.69601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857375" y="2647950"/>
          <a:ext cx="571500" cy="32385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0.20387</cdr:x>
      <cdr:y>0.60901</cdr:y>
    </cdr:from>
    <cdr:to>
      <cdr:x>0.30931</cdr:x>
      <cdr:y>0.68486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104900" y="2600325"/>
          <a:ext cx="571500" cy="32385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/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structure: You will need to write four sections for your annual report—summary, objective/performance targets, accompli</vt:lpstr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structure: You will need to write four sections for your annual report—summary, objective/performance targets, accompli</dc:title>
  <dc:creator>Katie</dc:creator>
  <cp:lastModifiedBy>KG</cp:lastModifiedBy>
  <cp:revision>3</cp:revision>
  <dcterms:created xsi:type="dcterms:W3CDTF">2013-09-25T01:15:00Z</dcterms:created>
  <dcterms:modified xsi:type="dcterms:W3CDTF">2013-09-25T01:17:00Z</dcterms:modified>
</cp:coreProperties>
</file>