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2" w:rsidRPr="00A854A9" w:rsidRDefault="007D5B4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2180" w:rsidRPr="00A854A9" w:rsidRDefault="007B31CB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447675</wp:posOffset>
            </wp:positionH>
            <wp:positionV relativeFrom="margin">
              <wp:posOffset>390525</wp:posOffset>
            </wp:positionV>
            <wp:extent cx="4764405" cy="3210560"/>
            <wp:effectExtent l="19050" t="0" r="17145" b="8890"/>
            <wp:wrapSquare wrapText="bothSides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2555" w:rsidRDefault="004D2555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B31CB" w:rsidRPr="00A854A9" w:rsidRDefault="007B31CB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54A9">
        <w:rPr>
          <w:rFonts w:ascii="Times New Roman" w:hAnsi="Times New Roman" w:cs="Times New Roman"/>
          <w:sz w:val="24"/>
          <w:szCs w:val="24"/>
        </w:rPr>
        <w:t>Figure 3.</w:t>
      </w:r>
      <w:proofErr w:type="gramEnd"/>
      <w:r w:rsidRPr="00A854A9">
        <w:rPr>
          <w:rFonts w:ascii="Times New Roman" w:hAnsi="Times New Roman" w:cs="Times New Roman"/>
          <w:sz w:val="24"/>
          <w:szCs w:val="24"/>
        </w:rPr>
        <w:t xml:space="preserve">  Average TNC, soluble sugars, and starch for dewberry roots samples collected in 2012 from cranberry farms by dewberry phenology stage. Reported as mg/100 mg of root (mean ± SE, n=8).   </w:t>
      </w: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2180" w:rsidRPr="00A854A9" w:rsidRDefault="00072180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5622" w:rsidRPr="00A854A9" w:rsidSect="002125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1D" w:rsidRDefault="00BD071D" w:rsidP="00FD4FC0">
      <w:pPr>
        <w:spacing w:after="0" w:line="240" w:lineRule="auto"/>
      </w:pPr>
      <w:r>
        <w:separator/>
      </w:r>
    </w:p>
  </w:endnote>
  <w:endnote w:type="continuationSeparator" w:id="0">
    <w:p w:rsidR="00BD071D" w:rsidRDefault="00BD071D" w:rsidP="00FD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60141"/>
      <w:docPartObj>
        <w:docPartGallery w:val="Page Numbers (Bottom of Page)"/>
        <w:docPartUnique/>
      </w:docPartObj>
    </w:sdtPr>
    <w:sdtContent>
      <w:p w:rsidR="00FD4FC0" w:rsidRDefault="00083FCA">
        <w:pPr>
          <w:pStyle w:val="Footer"/>
          <w:jc w:val="center"/>
        </w:pPr>
        <w:fldSimple w:instr=" PAGE   \* MERGEFORMAT ">
          <w:r w:rsidR="00906DE2">
            <w:rPr>
              <w:noProof/>
            </w:rPr>
            <w:t>1</w:t>
          </w:r>
        </w:fldSimple>
      </w:p>
    </w:sdtContent>
  </w:sdt>
  <w:p w:rsidR="00FD4FC0" w:rsidRDefault="00FD4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1D" w:rsidRDefault="00BD071D" w:rsidP="00FD4FC0">
      <w:pPr>
        <w:spacing w:after="0" w:line="240" w:lineRule="auto"/>
      </w:pPr>
      <w:r>
        <w:separator/>
      </w:r>
    </w:p>
  </w:footnote>
  <w:footnote w:type="continuationSeparator" w:id="0">
    <w:p w:rsidR="00BD071D" w:rsidRDefault="00BD071D" w:rsidP="00FD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8CF"/>
    <w:multiLevelType w:val="hybridMultilevel"/>
    <w:tmpl w:val="AA167A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4F14A6C"/>
    <w:multiLevelType w:val="hybridMultilevel"/>
    <w:tmpl w:val="AA167A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5374A5C"/>
    <w:multiLevelType w:val="hybridMultilevel"/>
    <w:tmpl w:val="981E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Weed Techn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f0vxp9z7aprfuezxz0522dsp9fr9s9fwet5&quot;&gt;Katie Comp Lib&lt;record-ids&gt;&lt;item&gt;840&lt;/item&gt;&lt;item&gt;1456&lt;/item&gt;&lt;item&gt;4366&lt;/item&gt;&lt;item&gt;4367&lt;/item&gt;&lt;item&gt;4369&lt;/item&gt;&lt;item&gt;4373&lt;/item&gt;&lt;item&gt;4523&lt;/item&gt;&lt;item&gt;4524&lt;/item&gt;&lt;item&gt;4527&lt;/item&gt;&lt;item&gt;4540&lt;/item&gt;&lt;item&gt;4561&lt;/item&gt;&lt;item&gt;4574&lt;/item&gt;&lt;/record-ids&gt;&lt;/item&gt;&lt;/Libraries&gt;"/>
  </w:docVars>
  <w:rsids>
    <w:rsidRoot w:val="004A75C1"/>
    <w:rsid w:val="0001131F"/>
    <w:rsid w:val="00062C65"/>
    <w:rsid w:val="00072180"/>
    <w:rsid w:val="00075354"/>
    <w:rsid w:val="00083FCA"/>
    <w:rsid w:val="00085F97"/>
    <w:rsid w:val="0009728D"/>
    <w:rsid w:val="000B0289"/>
    <w:rsid w:val="000B4820"/>
    <w:rsid w:val="000E3517"/>
    <w:rsid w:val="000E44A3"/>
    <w:rsid w:val="000E658C"/>
    <w:rsid w:val="001064F4"/>
    <w:rsid w:val="0010738A"/>
    <w:rsid w:val="0012111F"/>
    <w:rsid w:val="00140146"/>
    <w:rsid w:val="001423A1"/>
    <w:rsid w:val="001B3205"/>
    <w:rsid w:val="001C1447"/>
    <w:rsid w:val="001C2BA0"/>
    <w:rsid w:val="001E1637"/>
    <w:rsid w:val="002125BE"/>
    <w:rsid w:val="002156BD"/>
    <w:rsid w:val="00224570"/>
    <w:rsid w:val="002335EF"/>
    <w:rsid w:val="00293802"/>
    <w:rsid w:val="002D74CC"/>
    <w:rsid w:val="002E452F"/>
    <w:rsid w:val="002F0CDC"/>
    <w:rsid w:val="003011D3"/>
    <w:rsid w:val="00311067"/>
    <w:rsid w:val="00314C13"/>
    <w:rsid w:val="00316BBE"/>
    <w:rsid w:val="00350F64"/>
    <w:rsid w:val="00355E6C"/>
    <w:rsid w:val="00382E39"/>
    <w:rsid w:val="003852C9"/>
    <w:rsid w:val="003A07A8"/>
    <w:rsid w:val="003D6915"/>
    <w:rsid w:val="003E29E6"/>
    <w:rsid w:val="003F1777"/>
    <w:rsid w:val="003F5622"/>
    <w:rsid w:val="004162A3"/>
    <w:rsid w:val="00424615"/>
    <w:rsid w:val="004265F3"/>
    <w:rsid w:val="004339B8"/>
    <w:rsid w:val="00433FF9"/>
    <w:rsid w:val="00443F8C"/>
    <w:rsid w:val="004523A0"/>
    <w:rsid w:val="004562DE"/>
    <w:rsid w:val="0045793D"/>
    <w:rsid w:val="00460916"/>
    <w:rsid w:val="00480E70"/>
    <w:rsid w:val="004A75C1"/>
    <w:rsid w:val="004B1F8D"/>
    <w:rsid w:val="004D2555"/>
    <w:rsid w:val="004E1B43"/>
    <w:rsid w:val="00503334"/>
    <w:rsid w:val="00536F12"/>
    <w:rsid w:val="00550864"/>
    <w:rsid w:val="00563AA0"/>
    <w:rsid w:val="00593131"/>
    <w:rsid w:val="005A1471"/>
    <w:rsid w:val="005B24E7"/>
    <w:rsid w:val="005B5E1E"/>
    <w:rsid w:val="005B6181"/>
    <w:rsid w:val="005E3BDA"/>
    <w:rsid w:val="005F275F"/>
    <w:rsid w:val="00603A0F"/>
    <w:rsid w:val="00617532"/>
    <w:rsid w:val="006340F9"/>
    <w:rsid w:val="006C273B"/>
    <w:rsid w:val="006E3A0D"/>
    <w:rsid w:val="006F7CF5"/>
    <w:rsid w:val="00706BAD"/>
    <w:rsid w:val="00730C60"/>
    <w:rsid w:val="00744647"/>
    <w:rsid w:val="0075534E"/>
    <w:rsid w:val="00775709"/>
    <w:rsid w:val="007819C3"/>
    <w:rsid w:val="007B31CB"/>
    <w:rsid w:val="007D4C87"/>
    <w:rsid w:val="007D5B42"/>
    <w:rsid w:val="008000C5"/>
    <w:rsid w:val="0082528D"/>
    <w:rsid w:val="00830372"/>
    <w:rsid w:val="008571F9"/>
    <w:rsid w:val="008635F5"/>
    <w:rsid w:val="008658C4"/>
    <w:rsid w:val="008A3E31"/>
    <w:rsid w:val="009007DD"/>
    <w:rsid w:val="00906DE2"/>
    <w:rsid w:val="0097503A"/>
    <w:rsid w:val="009A0272"/>
    <w:rsid w:val="009B48A4"/>
    <w:rsid w:val="009F11F2"/>
    <w:rsid w:val="00A01EA1"/>
    <w:rsid w:val="00A20E83"/>
    <w:rsid w:val="00A552F4"/>
    <w:rsid w:val="00A64C4E"/>
    <w:rsid w:val="00A81257"/>
    <w:rsid w:val="00A84DD2"/>
    <w:rsid w:val="00A854A9"/>
    <w:rsid w:val="00AA7232"/>
    <w:rsid w:val="00AC4AE0"/>
    <w:rsid w:val="00AE32A4"/>
    <w:rsid w:val="00B00003"/>
    <w:rsid w:val="00B26094"/>
    <w:rsid w:val="00B47BB0"/>
    <w:rsid w:val="00B578C5"/>
    <w:rsid w:val="00B71A3B"/>
    <w:rsid w:val="00BA7243"/>
    <w:rsid w:val="00BB375B"/>
    <w:rsid w:val="00BB59A9"/>
    <w:rsid w:val="00BD071D"/>
    <w:rsid w:val="00C0535A"/>
    <w:rsid w:val="00C37074"/>
    <w:rsid w:val="00C43C20"/>
    <w:rsid w:val="00C51463"/>
    <w:rsid w:val="00C569B5"/>
    <w:rsid w:val="00C61555"/>
    <w:rsid w:val="00C70794"/>
    <w:rsid w:val="00C854D0"/>
    <w:rsid w:val="00C953D5"/>
    <w:rsid w:val="00CE40D9"/>
    <w:rsid w:val="00CE63DE"/>
    <w:rsid w:val="00CF53D1"/>
    <w:rsid w:val="00D01281"/>
    <w:rsid w:val="00D70C74"/>
    <w:rsid w:val="00D73791"/>
    <w:rsid w:val="00D81D0D"/>
    <w:rsid w:val="00D826B9"/>
    <w:rsid w:val="00D8630D"/>
    <w:rsid w:val="00DC17A5"/>
    <w:rsid w:val="00E007DD"/>
    <w:rsid w:val="00E114E3"/>
    <w:rsid w:val="00E1230B"/>
    <w:rsid w:val="00E4782B"/>
    <w:rsid w:val="00E73ACF"/>
    <w:rsid w:val="00E92C26"/>
    <w:rsid w:val="00EA5522"/>
    <w:rsid w:val="00EF319A"/>
    <w:rsid w:val="00EF3C50"/>
    <w:rsid w:val="00F240E9"/>
    <w:rsid w:val="00F25B21"/>
    <w:rsid w:val="00F50F62"/>
    <w:rsid w:val="00F95F85"/>
    <w:rsid w:val="00FA54EC"/>
    <w:rsid w:val="00FD0A17"/>
    <w:rsid w:val="00FD4FC0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55"/>
    <w:pPr>
      <w:spacing w:after="200" w:line="276" w:lineRule="atLeast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A75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61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44A3"/>
    <w:rPr>
      <w:rFonts w:eastAsia="Times New Roman" w:cs="Calibri"/>
    </w:rPr>
  </w:style>
  <w:style w:type="character" w:styleId="Emphasis">
    <w:name w:val="Emphasis"/>
    <w:basedOn w:val="DefaultParagraphFont"/>
    <w:uiPriority w:val="99"/>
    <w:qFormat/>
    <w:rsid w:val="00D826B9"/>
    <w:rPr>
      <w:i/>
      <w:iCs/>
    </w:rPr>
  </w:style>
  <w:style w:type="character" w:styleId="Hyperlink">
    <w:name w:val="Hyperlink"/>
    <w:basedOn w:val="DefaultParagraphFont"/>
    <w:uiPriority w:val="99"/>
    <w:unhideWhenUsed/>
    <w:rsid w:val="007D5B42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50864"/>
    <w:pPr>
      <w:ind w:left="720"/>
      <w:contextualSpacing/>
    </w:pPr>
    <w:rPr>
      <w:szCs w:val="20"/>
    </w:rPr>
  </w:style>
  <w:style w:type="paragraph" w:styleId="ListParagraph">
    <w:name w:val="List Paragraph"/>
    <w:basedOn w:val="Normal"/>
    <w:uiPriority w:val="99"/>
    <w:qFormat/>
    <w:rsid w:val="00A854A9"/>
    <w:pPr>
      <w:overflowPunct w:val="0"/>
      <w:autoSpaceDE w:val="0"/>
      <w:autoSpaceDN w:val="0"/>
      <w:adjustRightInd w:val="0"/>
      <w:spacing w:line="276" w:lineRule="auto"/>
      <w:ind w:left="720"/>
      <w:textAlignment w:val="baseline"/>
    </w:pPr>
  </w:style>
  <w:style w:type="paragraph" w:styleId="Header">
    <w:name w:val="header"/>
    <w:basedOn w:val="Normal"/>
    <w:link w:val="HeaderChar"/>
    <w:uiPriority w:val="99"/>
    <w:semiHidden/>
    <w:unhideWhenUsed/>
    <w:rsid w:val="00FD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FC0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unhideWhenUsed/>
    <w:rsid w:val="00FD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C0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55"/>
    <w:pPr>
      <w:spacing w:after="200" w:line="276" w:lineRule="atLeast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A75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61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44A3"/>
    <w:rPr>
      <w:rFonts w:eastAsia="Times New Roman" w:cs="Calibri"/>
    </w:rPr>
  </w:style>
  <w:style w:type="character" w:styleId="Emphasis">
    <w:name w:val="Emphasis"/>
    <w:basedOn w:val="DefaultParagraphFont"/>
    <w:uiPriority w:val="99"/>
    <w:qFormat/>
    <w:rsid w:val="00D826B9"/>
    <w:rPr>
      <w:i/>
      <w:iCs/>
    </w:rPr>
  </w:style>
  <w:style w:type="character" w:styleId="Hyperlink">
    <w:name w:val="Hyperlink"/>
    <w:basedOn w:val="DefaultParagraphFont"/>
    <w:uiPriority w:val="99"/>
    <w:unhideWhenUsed/>
    <w:rsid w:val="007D5B42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50864"/>
    <w:pPr>
      <w:ind w:left="720"/>
      <w:contextualSpacing/>
    </w:pPr>
    <w:rPr>
      <w:szCs w:val="20"/>
    </w:rPr>
  </w:style>
  <w:style w:type="paragraph" w:styleId="ListParagraph">
    <w:name w:val="List Paragraph"/>
    <w:basedOn w:val="Normal"/>
    <w:uiPriority w:val="99"/>
    <w:qFormat/>
    <w:rsid w:val="00A854A9"/>
    <w:pPr>
      <w:overflowPunct w:val="0"/>
      <w:autoSpaceDE w:val="0"/>
      <w:autoSpaceDN w:val="0"/>
      <w:adjustRightInd w:val="0"/>
      <w:spacing w:line="276" w:lineRule="auto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istrator\My%20Documents\Katie%20Fire\Dewberry%20Carbohydrate%20Cycles\Means%20from%20both%20years%20(version%20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3085739282589702E-2"/>
          <c:y val="0.12100764578340772"/>
          <c:w val="0.84778941467268543"/>
          <c:h val="0.72876897181330591"/>
        </c:manualLayout>
      </c:layout>
      <c:lineChart>
        <c:grouping val="standard"/>
        <c:ser>
          <c:idx val="0"/>
          <c:order val="0"/>
          <c:tx>
            <c:v>2012 TNC</c:v>
          </c:tx>
          <c:spPr>
            <a:ln w="22225">
              <a:solidFill>
                <a:schemeClr val="tx1"/>
              </a:solidFill>
            </a:ln>
          </c:spPr>
          <c:marker>
            <c:symbol val="diamond"/>
            <c:size val="8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'2012 pooled'!$H$20:$H$24</c:f>
                <c:numCache>
                  <c:formatCode>General</c:formatCode>
                  <c:ptCount val="5"/>
                  <c:pt idx="0">
                    <c:v>0.89999999999999991</c:v>
                  </c:pt>
                  <c:pt idx="1">
                    <c:v>0.30000000000000032</c:v>
                  </c:pt>
                  <c:pt idx="2">
                    <c:v>0.60000000000000064</c:v>
                  </c:pt>
                  <c:pt idx="3">
                    <c:v>0.5</c:v>
                  </c:pt>
                  <c:pt idx="4">
                    <c:v>0.60000000000000064</c:v>
                  </c:pt>
                </c:numCache>
              </c:numRef>
            </c:plus>
            <c:minus>
              <c:numRef>
                <c:f>'2012 pooled'!$H$20:$H$24</c:f>
                <c:numCache>
                  <c:formatCode>General</c:formatCode>
                  <c:ptCount val="5"/>
                  <c:pt idx="0">
                    <c:v>0.89999999999999991</c:v>
                  </c:pt>
                  <c:pt idx="1">
                    <c:v>0.30000000000000032</c:v>
                  </c:pt>
                  <c:pt idx="2">
                    <c:v>0.60000000000000064</c:v>
                  </c:pt>
                  <c:pt idx="3">
                    <c:v>0.5</c:v>
                  </c:pt>
                  <c:pt idx="4">
                    <c:v>0.60000000000000064</c:v>
                  </c:pt>
                </c:numCache>
              </c:numRef>
            </c:minus>
          </c:errBars>
          <c:cat>
            <c:strRef>
              <c:f>'2012 pooled'!$S$5:$S$9</c:f>
              <c:strCache>
                <c:ptCount val="5"/>
                <c:pt idx="0">
                  <c:v>Budbreak 4/2/2012</c:v>
                </c:pt>
                <c:pt idx="1">
                  <c:v>Leaf expansion 5/11/2012</c:v>
                </c:pt>
                <c:pt idx="2">
                  <c:v>Flowering 6/5/2012</c:v>
                </c:pt>
                <c:pt idx="3">
                  <c:v>Fruit mature 8/1/2012</c:v>
                </c:pt>
                <c:pt idx="4">
                  <c:v>Dormant 10/24/2012</c:v>
                </c:pt>
              </c:strCache>
            </c:strRef>
          </c:cat>
          <c:val>
            <c:numRef>
              <c:f>'2012 pooled'!$E$20:$E$24</c:f>
              <c:numCache>
                <c:formatCode>General</c:formatCode>
                <c:ptCount val="5"/>
                <c:pt idx="0">
                  <c:v>8.7000000000000011</c:v>
                </c:pt>
                <c:pt idx="1">
                  <c:v>5.8999999999999995</c:v>
                </c:pt>
                <c:pt idx="2">
                  <c:v>4.8</c:v>
                </c:pt>
                <c:pt idx="3">
                  <c:v>5.8000000000000007</c:v>
                </c:pt>
                <c:pt idx="4">
                  <c:v>7.3999999999999995</c:v>
                </c:pt>
              </c:numCache>
            </c:numRef>
          </c:val>
        </c:ser>
        <c:ser>
          <c:idx val="1"/>
          <c:order val="1"/>
          <c:tx>
            <c:v>2012 Starch</c:v>
          </c:tx>
          <c:spPr>
            <a:ln w="25400">
              <a:solidFill>
                <a:prstClr val="black"/>
              </a:solidFill>
              <a:prstDash val="sysDot"/>
            </a:ln>
          </c:spPr>
          <c:marker>
            <c:symbol val="x"/>
            <c:size val="7"/>
            <c:spPr>
              <a:noFill/>
              <a:ln w="12700"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'2012 pooled'!$H$8:$H$12</c:f>
                <c:numCache>
                  <c:formatCode>General</c:formatCode>
                  <c:ptCount val="5"/>
                  <c:pt idx="0">
                    <c:v>0.1</c:v>
                  </c:pt>
                  <c:pt idx="1">
                    <c:v>0.2</c:v>
                  </c:pt>
                  <c:pt idx="2">
                    <c:v>0.2</c:v>
                  </c:pt>
                  <c:pt idx="3">
                    <c:v>0.30000000000000032</c:v>
                  </c:pt>
                  <c:pt idx="4">
                    <c:v>0.5</c:v>
                  </c:pt>
                </c:numCache>
              </c:numRef>
            </c:plus>
            <c:minus>
              <c:numRef>
                <c:f>'2012 pooled'!$H$8:$H$12</c:f>
                <c:numCache>
                  <c:formatCode>General</c:formatCode>
                  <c:ptCount val="5"/>
                  <c:pt idx="0">
                    <c:v>0.1</c:v>
                  </c:pt>
                  <c:pt idx="1">
                    <c:v>0.2</c:v>
                  </c:pt>
                  <c:pt idx="2">
                    <c:v>0.2</c:v>
                  </c:pt>
                  <c:pt idx="3">
                    <c:v>0.30000000000000032</c:v>
                  </c:pt>
                  <c:pt idx="4">
                    <c:v>0.5</c:v>
                  </c:pt>
                </c:numCache>
              </c:numRef>
            </c:minus>
          </c:errBars>
          <c:cat>
            <c:strRef>
              <c:f>'2012 pooled'!$S$5:$S$9</c:f>
              <c:strCache>
                <c:ptCount val="5"/>
                <c:pt idx="0">
                  <c:v>Budbreak 4/2/2012</c:v>
                </c:pt>
                <c:pt idx="1">
                  <c:v>Leaf expansion 5/11/2012</c:v>
                </c:pt>
                <c:pt idx="2">
                  <c:v>Flowering 6/5/2012</c:v>
                </c:pt>
                <c:pt idx="3">
                  <c:v>Fruit mature 8/1/2012</c:v>
                </c:pt>
                <c:pt idx="4">
                  <c:v>Dormant 10/24/2012</c:v>
                </c:pt>
              </c:strCache>
            </c:strRef>
          </c:cat>
          <c:val>
            <c:numRef>
              <c:f>'2012 pooled'!$E$8:$E$12</c:f>
              <c:numCache>
                <c:formatCode>General</c:formatCode>
                <c:ptCount val="5"/>
                <c:pt idx="0">
                  <c:v>2.1</c:v>
                </c:pt>
                <c:pt idx="1">
                  <c:v>1.5</c:v>
                </c:pt>
                <c:pt idx="2">
                  <c:v>0.8</c:v>
                </c:pt>
                <c:pt idx="3">
                  <c:v>2.1</c:v>
                </c:pt>
                <c:pt idx="4">
                  <c:v>3.4000000000000004</c:v>
                </c:pt>
              </c:numCache>
            </c:numRef>
          </c:val>
        </c:ser>
        <c:ser>
          <c:idx val="2"/>
          <c:order val="2"/>
          <c:tx>
            <c:v>2012 Soluble sugars</c:v>
          </c:tx>
          <c:spPr>
            <a:ln w="25400">
              <a:solidFill>
                <a:prstClr val="black"/>
              </a:solidFill>
              <a:prstDash val="dash"/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 w="19050"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'2012 pooled'!$H$14:$H$18</c:f>
                <c:numCache>
                  <c:formatCode>General</c:formatCode>
                  <c:ptCount val="5"/>
                  <c:pt idx="0">
                    <c:v>0.89999999999999991</c:v>
                  </c:pt>
                  <c:pt idx="1">
                    <c:v>0.30000000000000032</c:v>
                  </c:pt>
                  <c:pt idx="2">
                    <c:v>0.4</c:v>
                  </c:pt>
                  <c:pt idx="3">
                    <c:v>0.2</c:v>
                  </c:pt>
                  <c:pt idx="4">
                    <c:v>0.30000000000000032</c:v>
                  </c:pt>
                </c:numCache>
              </c:numRef>
            </c:plus>
            <c:minus>
              <c:numRef>
                <c:f>'2012 pooled'!$H$14:$H$18</c:f>
                <c:numCache>
                  <c:formatCode>General</c:formatCode>
                  <c:ptCount val="5"/>
                  <c:pt idx="0">
                    <c:v>0.89999999999999991</c:v>
                  </c:pt>
                  <c:pt idx="1">
                    <c:v>0.30000000000000032</c:v>
                  </c:pt>
                  <c:pt idx="2">
                    <c:v>0.4</c:v>
                  </c:pt>
                  <c:pt idx="3">
                    <c:v>0.2</c:v>
                  </c:pt>
                  <c:pt idx="4">
                    <c:v>0.30000000000000032</c:v>
                  </c:pt>
                </c:numCache>
              </c:numRef>
            </c:minus>
          </c:errBars>
          <c:cat>
            <c:strRef>
              <c:f>'2012 pooled'!$S$5:$S$9</c:f>
              <c:strCache>
                <c:ptCount val="5"/>
                <c:pt idx="0">
                  <c:v>Budbreak 4/2/2012</c:v>
                </c:pt>
                <c:pt idx="1">
                  <c:v>Leaf expansion 5/11/2012</c:v>
                </c:pt>
                <c:pt idx="2">
                  <c:v>Flowering 6/5/2012</c:v>
                </c:pt>
                <c:pt idx="3">
                  <c:v>Fruit mature 8/1/2012</c:v>
                </c:pt>
                <c:pt idx="4">
                  <c:v>Dormant 10/24/2012</c:v>
                </c:pt>
              </c:strCache>
            </c:strRef>
          </c:cat>
          <c:val>
            <c:numRef>
              <c:f>'2012 pooled'!$E$14:$E$18</c:f>
              <c:numCache>
                <c:formatCode>General</c:formatCode>
                <c:ptCount val="5"/>
                <c:pt idx="0">
                  <c:v>6.5</c:v>
                </c:pt>
                <c:pt idx="1">
                  <c:v>4.3999999999999995</c:v>
                </c:pt>
                <c:pt idx="2">
                  <c:v>4.1000000000000005</c:v>
                </c:pt>
                <c:pt idx="3">
                  <c:v>3.6999999999999997</c:v>
                </c:pt>
                <c:pt idx="4">
                  <c:v>4</c:v>
                </c:pt>
              </c:numCache>
            </c:numRef>
          </c:val>
        </c:ser>
        <c:marker val="1"/>
        <c:axId val="127008128"/>
        <c:axId val="127492480"/>
      </c:lineChart>
      <c:catAx>
        <c:axId val="1270081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27492480"/>
        <c:crosses val="autoZero"/>
        <c:auto val="1"/>
        <c:lblAlgn val="ctr"/>
        <c:lblOffset val="100"/>
      </c:catAx>
      <c:valAx>
        <c:axId val="127492480"/>
        <c:scaling>
          <c:orientation val="minMax"/>
          <c:max val="13.5"/>
          <c:min val="0"/>
        </c:scaling>
        <c:axPos val="l"/>
        <c:title>
          <c:tx>
            <c:rich>
              <a:bodyPr rot="0" vert="horz"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mg/100 mg</a:t>
                </a:r>
              </a:p>
            </c:rich>
          </c:tx>
          <c:layout>
            <c:manualLayout>
              <c:xMode val="edge"/>
              <c:yMode val="edge"/>
              <c:x val="2.0711974110032366E-2"/>
              <c:y val="3.0310395983110812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27008128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.23925293593108554"/>
          <c:y val="2.9092076631446709E-2"/>
          <c:w val="0.34474981492698026"/>
          <c:h val="0.21061253561253571"/>
        </c:manualLayout>
      </c:layout>
      <c:overlay val="1"/>
      <c:spPr>
        <a:ln w="6350">
          <a:solidFill>
            <a:sysClr val="windowText" lastClr="000000"/>
          </a:solidFill>
        </a:ln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0.15061</cdr:x>
      <cdr:y>0.20696</cdr:y>
    </cdr:from>
    <cdr:to>
      <cdr:x>0.2179</cdr:x>
      <cdr:y>0.31355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16112" y="737274"/>
          <a:ext cx="319956" cy="3797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0.81215</cdr:x>
      <cdr:y>0.27445</cdr:y>
    </cdr:from>
    <cdr:to>
      <cdr:x>0.90545</cdr:x>
      <cdr:y>0.38103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3861663" y="978746"/>
          <a:ext cx="443637" cy="380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ab</a:t>
          </a:r>
        </a:p>
      </cdr:txBody>
    </cdr:sp>
  </cdr:relSizeAnchor>
  <cdr:relSizeAnchor xmlns:cdr="http://schemas.openxmlformats.org/drawingml/2006/chartDrawing">
    <cdr:from>
      <cdr:x>0.63257</cdr:x>
      <cdr:y>0.37979</cdr:y>
    </cdr:from>
    <cdr:to>
      <cdr:x>0.74119</cdr:x>
      <cdr:y>0.48637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007815" y="1354383"/>
          <a:ext cx="516436" cy="380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bc</a:t>
          </a:r>
        </a:p>
      </cdr:txBody>
    </cdr:sp>
  </cdr:relSizeAnchor>
  <cdr:relSizeAnchor xmlns:cdr="http://schemas.openxmlformats.org/drawingml/2006/chartDrawing">
    <cdr:from>
      <cdr:x>0.48411</cdr:x>
      <cdr:y>0.43151</cdr:y>
    </cdr:from>
    <cdr:to>
      <cdr:x>0.5514</cdr:x>
      <cdr:y>0.53809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301885" y="1538825"/>
          <a:ext cx="319956" cy="380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c</a:t>
          </a:r>
        </a:p>
      </cdr:txBody>
    </cdr:sp>
  </cdr:relSizeAnchor>
  <cdr:relSizeAnchor xmlns:cdr="http://schemas.openxmlformats.org/drawingml/2006/chartDrawing">
    <cdr:from>
      <cdr:x>0.30374</cdr:x>
      <cdr:y>0.38565</cdr:y>
    </cdr:from>
    <cdr:to>
      <cdr:x>0.38462</cdr:x>
      <cdr:y>0.49224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444235" y="1375301"/>
          <a:ext cx="384565" cy="3801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bc</a:t>
          </a:r>
        </a:p>
      </cdr:txBody>
    </cdr:sp>
  </cdr:relSizeAnchor>
  <cdr:relSizeAnchor xmlns:cdr="http://schemas.openxmlformats.org/drawingml/2006/chartDrawing">
    <cdr:from>
      <cdr:x>0.8243</cdr:x>
      <cdr:y>0.5119</cdr:y>
    </cdr:from>
    <cdr:to>
      <cdr:x>0.89159</cdr:x>
      <cdr:y>0.61045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919448" y="1825534"/>
          <a:ext cx="319955" cy="35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0.65314</cdr:x>
      <cdr:y>0.5501</cdr:y>
    </cdr:from>
    <cdr:to>
      <cdr:x>0.72043</cdr:x>
      <cdr:y>0.64865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3105622" y="1961747"/>
          <a:ext cx="319956" cy="35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0.48411</cdr:x>
      <cdr:y>0.61267</cdr:y>
    </cdr:from>
    <cdr:to>
      <cdr:x>0.5514</cdr:x>
      <cdr:y>0.73718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301885" y="2184870"/>
          <a:ext cx="319956" cy="444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0.31215</cdr:x>
      <cdr:y>0.59772</cdr:y>
    </cdr:from>
    <cdr:to>
      <cdr:x>0.37944</cdr:x>
      <cdr:y>0.70207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484236" y="2131563"/>
          <a:ext cx="319956" cy="3721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0.11963</cdr:x>
      <cdr:y>0.36522</cdr:y>
    </cdr:from>
    <cdr:to>
      <cdr:x>0.18692</cdr:x>
      <cdr:y>0.46377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609600" y="1200150"/>
          <a:ext cx="34290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>
              <a:latin typeface="Times New Roman" pitchFamily="18" charset="0"/>
              <a:cs typeface="Times New Roman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0.14046</cdr:x>
      <cdr:y>0.62847</cdr:y>
    </cdr:from>
    <cdr:to>
      <cdr:x>0.20775</cdr:x>
      <cdr:y>0.72702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667853" y="2241239"/>
          <a:ext cx="319956" cy="35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 i="1">
              <a:latin typeface="Times New Roman" pitchFamily="18" charset="0"/>
              <a:cs typeface="Times New Roman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0.82243</cdr:x>
      <cdr:y>0.66462</cdr:y>
    </cdr:from>
    <cdr:to>
      <cdr:x>0.88972</cdr:x>
      <cdr:y>0.76317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3910556" y="2370136"/>
          <a:ext cx="319956" cy="35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 i="1">
              <a:latin typeface="Times New Roman" pitchFamily="18" charset="0"/>
              <a:cs typeface="Times New Roman" pitchFamily="18" charset="0"/>
            </a:rPr>
            <a:t>a</a:t>
          </a:r>
        </a:p>
      </cdr:txBody>
    </cdr:sp>
  </cdr:relSizeAnchor>
  <cdr:relSizeAnchor xmlns:cdr="http://schemas.openxmlformats.org/drawingml/2006/chartDrawing">
    <cdr:from>
      <cdr:x>0.65104</cdr:x>
      <cdr:y>0.73816</cdr:y>
    </cdr:from>
    <cdr:to>
      <cdr:x>0.72577</cdr:x>
      <cdr:y>0.83333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3095626" y="2632382"/>
          <a:ext cx="355337" cy="339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 b="0" i="1">
              <a:latin typeface="Times New Roman" pitchFamily="18" charset="0"/>
              <a:cs typeface="Times New Roman" pitchFamily="18" charset="0"/>
            </a:rPr>
            <a:t>b</a:t>
          </a:r>
        </a:p>
      </cdr:txBody>
    </cdr:sp>
  </cdr:relSizeAnchor>
  <cdr:relSizeAnchor xmlns:cdr="http://schemas.openxmlformats.org/drawingml/2006/chartDrawing">
    <cdr:from>
      <cdr:x>0.48651</cdr:x>
      <cdr:y>0.72588</cdr:y>
    </cdr:from>
    <cdr:to>
      <cdr:x>0.5538</cdr:x>
      <cdr:y>0.82443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2313310" y="2588600"/>
          <a:ext cx="319956" cy="35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 i="1">
              <a:latin typeface="Times New Roman" pitchFamily="18" charset="0"/>
              <a:cs typeface="Times New Roman" pitchFamily="18" charset="0"/>
            </a:rPr>
            <a:t>c</a:t>
          </a:r>
        </a:p>
      </cdr:txBody>
    </cdr:sp>
  </cdr:relSizeAnchor>
  <cdr:relSizeAnchor xmlns:cdr="http://schemas.openxmlformats.org/drawingml/2006/chartDrawing">
    <cdr:from>
      <cdr:x>0.30654</cdr:x>
      <cdr:y>0.66996</cdr:y>
    </cdr:from>
    <cdr:to>
      <cdr:x>0.38318</cdr:x>
      <cdr:y>0.76851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1457561" y="2389186"/>
          <a:ext cx="364414" cy="3514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200" i="1">
              <a:latin typeface="Times New Roman" pitchFamily="18" charset="0"/>
              <a:cs typeface="Times New Roman" pitchFamily="18" charset="0"/>
            </a:rPr>
            <a:t>bc</a:t>
          </a:r>
        </a:p>
      </cdr:txBody>
    </cdr:sp>
  </cdr:relSizeAnchor>
  <cdr:relSizeAnchor xmlns:cdr="http://schemas.openxmlformats.org/drawingml/2006/chartDrawing">
    <cdr:from>
      <cdr:x>0.88737</cdr:x>
      <cdr:y>0</cdr:y>
    </cdr:from>
    <cdr:to>
      <cdr:x>0.99599</cdr:x>
      <cdr:y>0.10658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4219355" y="0"/>
          <a:ext cx="516475" cy="3796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en-US" sz="24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0.57577</cdr:x>
      <cdr:y>0</cdr:y>
    </cdr:from>
    <cdr:to>
      <cdr:x>1</cdr:x>
      <cdr:y>0.28276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2743199" y="0"/>
          <a:ext cx="2021205" cy="9078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Dewberry Root Carbohydrates </a:t>
          </a:r>
        </a:p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2012</a:t>
          </a:r>
        </a:p>
        <a:p xmlns:a="http://schemas.openxmlformats.org/drawingml/2006/main">
          <a:pPr algn="ctr"/>
          <a:endParaRPr lang="en-US" sz="14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structure: You will need to write four sections for your annual report—summary, objective/performance targets, accompli</vt:lpstr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structure: You will need to write four sections for your annual report—summary, objective/performance targets, accompli</dc:title>
  <dc:creator>Katie</dc:creator>
  <cp:lastModifiedBy>KG</cp:lastModifiedBy>
  <cp:revision>3</cp:revision>
  <dcterms:created xsi:type="dcterms:W3CDTF">2013-09-25T01:17:00Z</dcterms:created>
  <dcterms:modified xsi:type="dcterms:W3CDTF">2013-09-25T01:18:00Z</dcterms:modified>
</cp:coreProperties>
</file>