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143"/>
        <w:gridCol w:w="765"/>
        <w:gridCol w:w="4500"/>
        <w:gridCol w:w="633"/>
        <w:gridCol w:w="634"/>
        <w:gridCol w:w="633"/>
        <w:gridCol w:w="634"/>
        <w:gridCol w:w="634"/>
      </w:tblGrid>
      <w:tr w:rsidR="00F37788" w:rsidTr="008D4E41">
        <w:trPr>
          <w:trHeight w:val="432"/>
        </w:trPr>
        <w:tc>
          <w:tcPr>
            <w:tcW w:w="9576" w:type="dxa"/>
            <w:gridSpan w:val="8"/>
          </w:tcPr>
          <w:p w:rsidR="00F37788" w:rsidRDefault="00A5323F" w:rsidP="00A5323F">
            <w:pPr>
              <w:jc w:val="both"/>
            </w:pPr>
            <w:bookmarkStart w:id="0" w:name="_GoBack"/>
            <w:bookmarkEnd w:id="0"/>
            <w:r w:rsidRPr="00A5323F">
              <w:rPr>
                <w:b/>
              </w:rPr>
              <w:t>TIMELINE.</w:t>
            </w:r>
            <w:r>
              <w:t xml:space="preserve"> </w:t>
            </w:r>
            <w:r w:rsidR="00F37788">
              <w:t xml:space="preserve">This is a flexible timeline to base your experiment on.  The beginning or middle of the week is a good time to aim for step completion because it allows for flexibility, but it is </w:t>
            </w:r>
            <w:r>
              <w:t>not necessary. D</w:t>
            </w:r>
            <w:r w:rsidR="00F37788">
              <w:t>uring the germinat</w:t>
            </w:r>
            <w:r>
              <w:t xml:space="preserve">ion and elongation periods, the seeds will germinate and the plants will develop differently depending on the temperature of the environment, light, </w:t>
            </w:r>
            <w:r w:rsidR="00347B0C">
              <w:t xml:space="preserve">plant species, </w:t>
            </w:r>
            <w:r>
              <w:t xml:space="preserve">etc.  Observation is necessary for better timing according to the plant development. </w:t>
            </w:r>
          </w:p>
        </w:tc>
      </w:tr>
      <w:tr w:rsidR="00F37788" w:rsidTr="00F37788">
        <w:trPr>
          <w:trHeight w:val="432"/>
        </w:trPr>
        <w:tc>
          <w:tcPr>
            <w:tcW w:w="1143" w:type="dxa"/>
          </w:tcPr>
          <w:p w:rsidR="00F32C6B" w:rsidRDefault="00F32C6B" w:rsidP="00F77BD6">
            <w:pPr>
              <w:jc w:val="center"/>
            </w:pPr>
          </w:p>
        </w:tc>
        <w:tc>
          <w:tcPr>
            <w:tcW w:w="765" w:type="dxa"/>
          </w:tcPr>
          <w:p w:rsidR="00F32C6B" w:rsidRDefault="00F32C6B" w:rsidP="00F77BD6">
            <w:pPr>
              <w:jc w:val="center"/>
            </w:pPr>
            <w:r>
              <w:t>Su</w:t>
            </w:r>
          </w:p>
        </w:tc>
        <w:tc>
          <w:tcPr>
            <w:tcW w:w="4500" w:type="dxa"/>
          </w:tcPr>
          <w:p w:rsidR="00F32C6B" w:rsidRDefault="00F32C6B" w:rsidP="00F77BD6">
            <w:pPr>
              <w:jc w:val="center"/>
            </w:pPr>
            <w:r>
              <w:t>M</w:t>
            </w:r>
          </w:p>
        </w:tc>
        <w:tc>
          <w:tcPr>
            <w:tcW w:w="633" w:type="dxa"/>
          </w:tcPr>
          <w:p w:rsidR="00F32C6B" w:rsidRDefault="00F32C6B" w:rsidP="00F77BD6">
            <w:pPr>
              <w:jc w:val="center"/>
            </w:pPr>
            <w:proofErr w:type="spellStart"/>
            <w:r>
              <w:t>Tu</w:t>
            </w:r>
            <w:proofErr w:type="spellEnd"/>
          </w:p>
        </w:tc>
        <w:tc>
          <w:tcPr>
            <w:tcW w:w="634" w:type="dxa"/>
          </w:tcPr>
          <w:p w:rsidR="00F32C6B" w:rsidRDefault="00F32C6B" w:rsidP="00F77BD6">
            <w:pPr>
              <w:jc w:val="center"/>
            </w:pPr>
            <w:r>
              <w:t>W</w:t>
            </w:r>
          </w:p>
        </w:tc>
        <w:tc>
          <w:tcPr>
            <w:tcW w:w="633" w:type="dxa"/>
          </w:tcPr>
          <w:p w:rsidR="00F32C6B" w:rsidRDefault="00F32C6B" w:rsidP="00F77BD6">
            <w:pPr>
              <w:jc w:val="center"/>
            </w:pPr>
            <w:proofErr w:type="spellStart"/>
            <w:r>
              <w:t>Th</w:t>
            </w:r>
            <w:proofErr w:type="spellEnd"/>
          </w:p>
        </w:tc>
        <w:tc>
          <w:tcPr>
            <w:tcW w:w="634" w:type="dxa"/>
          </w:tcPr>
          <w:p w:rsidR="00F32C6B" w:rsidRDefault="00F32C6B" w:rsidP="00F77BD6">
            <w:pPr>
              <w:jc w:val="center"/>
            </w:pPr>
            <w:r>
              <w:t>F</w:t>
            </w:r>
          </w:p>
        </w:tc>
        <w:tc>
          <w:tcPr>
            <w:tcW w:w="634" w:type="dxa"/>
          </w:tcPr>
          <w:p w:rsidR="00F32C6B" w:rsidRDefault="00F32C6B" w:rsidP="00F77BD6">
            <w:pPr>
              <w:jc w:val="center"/>
            </w:pPr>
            <w:r>
              <w:t>Sa</w:t>
            </w:r>
          </w:p>
        </w:tc>
      </w:tr>
      <w:tr w:rsidR="00F37788" w:rsidTr="00F37788">
        <w:trPr>
          <w:trHeight w:val="576"/>
        </w:trPr>
        <w:tc>
          <w:tcPr>
            <w:tcW w:w="1143" w:type="dxa"/>
            <w:shd w:val="clear" w:color="auto" w:fill="FFFFFF" w:themeFill="background1"/>
          </w:tcPr>
          <w:p w:rsidR="00F32C6B" w:rsidRDefault="00F32C6B">
            <w:r>
              <w:t>Week 1</w:t>
            </w:r>
          </w:p>
        </w:tc>
        <w:tc>
          <w:tcPr>
            <w:tcW w:w="765" w:type="dxa"/>
          </w:tcPr>
          <w:p w:rsidR="00F32C6B" w:rsidRDefault="00F32C6B"/>
        </w:tc>
        <w:tc>
          <w:tcPr>
            <w:tcW w:w="4500" w:type="dxa"/>
            <w:shd w:val="clear" w:color="auto" w:fill="FDE9D9" w:themeFill="accent6" w:themeFillTint="33"/>
          </w:tcPr>
          <w:p w:rsidR="00F32C6B" w:rsidRDefault="00F32C6B" w:rsidP="00A5323F">
            <w:r>
              <w:t>Start germination</w:t>
            </w:r>
            <w:r w:rsidR="00A5323F">
              <w:t xml:space="preserve"> (the rate at which the seeds will germinate depends on the temperature of the environment, light, etc.  Observation is necessary at this stage to determine when to transplant them to the elongation phase)</w:t>
            </w:r>
          </w:p>
        </w:tc>
        <w:tc>
          <w:tcPr>
            <w:tcW w:w="633" w:type="dxa"/>
            <w:shd w:val="clear" w:color="auto" w:fill="FDE9D9" w:themeFill="accent6" w:themeFillTint="33"/>
          </w:tcPr>
          <w:p w:rsidR="00F32C6B" w:rsidRDefault="00F32C6B"/>
        </w:tc>
        <w:tc>
          <w:tcPr>
            <w:tcW w:w="634" w:type="dxa"/>
            <w:shd w:val="clear" w:color="auto" w:fill="FDE9D9" w:themeFill="accent6" w:themeFillTint="33"/>
          </w:tcPr>
          <w:p w:rsidR="00F32C6B" w:rsidRDefault="00F32C6B"/>
        </w:tc>
        <w:tc>
          <w:tcPr>
            <w:tcW w:w="633" w:type="dxa"/>
            <w:shd w:val="clear" w:color="auto" w:fill="FDE9D9" w:themeFill="accent6" w:themeFillTint="33"/>
          </w:tcPr>
          <w:p w:rsidR="00F32C6B" w:rsidRDefault="00F32C6B"/>
        </w:tc>
        <w:tc>
          <w:tcPr>
            <w:tcW w:w="634" w:type="dxa"/>
            <w:shd w:val="clear" w:color="auto" w:fill="FDE9D9" w:themeFill="accent6" w:themeFillTint="33"/>
          </w:tcPr>
          <w:p w:rsidR="00F32C6B" w:rsidRDefault="00F32C6B"/>
        </w:tc>
        <w:tc>
          <w:tcPr>
            <w:tcW w:w="634" w:type="dxa"/>
            <w:shd w:val="clear" w:color="auto" w:fill="FDE9D9" w:themeFill="accent6" w:themeFillTint="33"/>
          </w:tcPr>
          <w:p w:rsidR="00F32C6B" w:rsidRDefault="00F32C6B"/>
        </w:tc>
      </w:tr>
      <w:tr w:rsidR="00F37788" w:rsidTr="00F37788">
        <w:trPr>
          <w:trHeight w:val="576"/>
        </w:trPr>
        <w:tc>
          <w:tcPr>
            <w:tcW w:w="1143" w:type="dxa"/>
            <w:shd w:val="clear" w:color="auto" w:fill="FFFFFF" w:themeFill="background1"/>
          </w:tcPr>
          <w:p w:rsidR="00F32C6B" w:rsidRDefault="00F32C6B">
            <w:r>
              <w:t>Week 2</w:t>
            </w:r>
          </w:p>
        </w:tc>
        <w:tc>
          <w:tcPr>
            <w:tcW w:w="765" w:type="dxa"/>
            <w:shd w:val="clear" w:color="auto" w:fill="FDE9D9" w:themeFill="accent6" w:themeFillTint="33"/>
          </w:tcPr>
          <w:p w:rsidR="00F32C6B" w:rsidRDefault="00F32C6B"/>
        </w:tc>
        <w:tc>
          <w:tcPr>
            <w:tcW w:w="4500" w:type="dxa"/>
            <w:shd w:val="clear" w:color="auto" w:fill="F2DBDB" w:themeFill="accent2" w:themeFillTint="33"/>
          </w:tcPr>
          <w:p w:rsidR="00F32C6B" w:rsidRDefault="00F32C6B">
            <w:r>
              <w:t>Transplant to elongate</w:t>
            </w:r>
            <w:r w:rsidR="00F37788">
              <w:t xml:space="preserve"> (when first leaves are out, but yellow, and a there are a few roots)</w:t>
            </w:r>
          </w:p>
        </w:tc>
        <w:tc>
          <w:tcPr>
            <w:tcW w:w="633" w:type="dxa"/>
            <w:shd w:val="clear" w:color="auto" w:fill="F2DBDB" w:themeFill="accent2" w:themeFillTint="33"/>
          </w:tcPr>
          <w:p w:rsidR="00F32C6B" w:rsidRDefault="00F32C6B"/>
        </w:tc>
        <w:tc>
          <w:tcPr>
            <w:tcW w:w="634" w:type="dxa"/>
            <w:shd w:val="clear" w:color="auto" w:fill="F2DBDB" w:themeFill="accent2" w:themeFillTint="33"/>
          </w:tcPr>
          <w:p w:rsidR="00F32C6B" w:rsidRDefault="00F32C6B"/>
        </w:tc>
        <w:tc>
          <w:tcPr>
            <w:tcW w:w="633" w:type="dxa"/>
            <w:shd w:val="clear" w:color="auto" w:fill="F2DBDB" w:themeFill="accent2" w:themeFillTint="33"/>
          </w:tcPr>
          <w:p w:rsidR="00F32C6B" w:rsidRDefault="00F32C6B"/>
        </w:tc>
        <w:tc>
          <w:tcPr>
            <w:tcW w:w="634" w:type="dxa"/>
            <w:shd w:val="clear" w:color="auto" w:fill="F2DBDB" w:themeFill="accent2" w:themeFillTint="33"/>
          </w:tcPr>
          <w:p w:rsidR="00F32C6B" w:rsidRDefault="00F32C6B"/>
        </w:tc>
        <w:tc>
          <w:tcPr>
            <w:tcW w:w="634" w:type="dxa"/>
            <w:shd w:val="clear" w:color="auto" w:fill="F2DBDB" w:themeFill="accent2" w:themeFillTint="33"/>
          </w:tcPr>
          <w:p w:rsidR="00F32C6B" w:rsidRDefault="00F32C6B"/>
        </w:tc>
      </w:tr>
      <w:tr w:rsidR="00F37788" w:rsidTr="00F37788">
        <w:trPr>
          <w:trHeight w:val="576"/>
        </w:trPr>
        <w:tc>
          <w:tcPr>
            <w:tcW w:w="1143" w:type="dxa"/>
            <w:shd w:val="clear" w:color="auto" w:fill="FFFFFF" w:themeFill="background1"/>
          </w:tcPr>
          <w:p w:rsidR="00F32C6B" w:rsidRDefault="00F32C6B">
            <w:r>
              <w:t>Week 3</w:t>
            </w:r>
          </w:p>
        </w:tc>
        <w:tc>
          <w:tcPr>
            <w:tcW w:w="765" w:type="dxa"/>
            <w:shd w:val="clear" w:color="auto" w:fill="F2DBDB" w:themeFill="accent2" w:themeFillTint="33"/>
          </w:tcPr>
          <w:p w:rsidR="00F32C6B" w:rsidRDefault="00F32C6B"/>
        </w:tc>
        <w:tc>
          <w:tcPr>
            <w:tcW w:w="4500" w:type="dxa"/>
            <w:shd w:val="clear" w:color="auto" w:fill="F2DBDB" w:themeFill="accent2" w:themeFillTint="33"/>
          </w:tcPr>
          <w:p w:rsidR="00F32C6B" w:rsidRDefault="00F32C6B"/>
        </w:tc>
        <w:tc>
          <w:tcPr>
            <w:tcW w:w="633" w:type="dxa"/>
            <w:shd w:val="clear" w:color="auto" w:fill="F2DBDB" w:themeFill="accent2" w:themeFillTint="33"/>
          </w:tcPr>
          <w:p w:rsidR="00F32C6B" w:rsidRDefault="00F32C6B"/>
        </w:tc>
        <w:tc>
          <w:tcPr>
            <w:tcW w:w="634" w:type="dxa"/>
            <w:shd w:val="clear" w:color="auto" w:fill="F2DBDB" w:themeFill="accent2" w:themeFillTint="33"/>
          </w:tcPr>
          <w:p w:rsidR="00F32C6B" w:rsidRDefault="00F32C6B"/>
        </w:tc>
        <w:tc>
          <w:tcPr>
            <w:tcW w:w="633" w:type="dxa"/>
            <w:shd w:val="clear" w:color="auto" w:fill="F2DBDB" w:themeFill="accent2" w:themeFillTint="33"/>
          </w:tcPr>
          <w:p w:rsidR="00F32C6B" w:rsidRDefault="00F32C6B"/>
        </w:tc>
        <w:tc>
          <w:tcPr>
            <w:tcW w:w="634" w:type="dxa"/>
            <w:shd w:val="clear" w:color="auto" w:fill="F2DBDB" w:themeFill="accent2" w:themeFillTint="33"/>
          </w:tcPr>
          <w:p w:rsidR="00F32C6B" w:rsidRDefault="00F32C6B"/>
        </w:tc>
        <w:tc>
          <w:tcPr>
            <w:tcW w:w="634" w:type="dxa"/>
            <w:shd w:val="clear" w:color="auto" w:fill="F2DBDB" w:themeFill="accent2" w:themeFillTint="33"/>
          </w:tcPr>
          <w:p w:rsidR="00F32C6B" w:rsidRDefault="00F32C6B"/>
        </w:tc>
      </w:tr>
      <w:tr w:rsidR="00F37788" w:rsidTr="00F37788">
        <w:trPr>
          <w:trHeight w:val="576"/>
        </w:trPr>
        <w:tc>
          <w:tcPr>
            <w:tcW w:w="1143" w:type="dxa"/>
            <w:shd w:val="clear" w:color="auto" w:fill="FFFFFF" w:themeFill="background1"/>
          </w:tcPr>
          <w:p w:rsidR="00F32C6B" w:rsidRDefault="00F32C6B">
            <w:r>
              <w:t>Week 4</w:t>
            </w:r>
          </w:p>
        </w:tc>
        <w:tc>
          <w:tcPr>
            <w:tcW w:w="765" w:type="dxa"/>
            <w:shd w:val="clear" w:color="auto" w:fill="F2DBDB" w:themeFill="accent2" w:themeFillTint="33"/>
          </w:tcPr>
          <w:p w:rsidR="00F32C6B" w:rsidRDefault="00F32C6B"/>
        </w:tc>
        <w:tc>
          <w:tcPr>
            <w:tcW w:w="4500" w:type="dxa"/>
            <w:shd w:val="clear" w:color="auto" w:fill="EEECE1" w:themeFill="background2"/>
          </w:tcPr>
          <w:p w:rsidR="00F32C6B" w:rsidRDefault="00F32C6B" w:rsidP="00A5323F">
            <w:r>
              <w:t>Transplant to pots with full nutrient solution</w:t>
            </w:r>
            <w:r w:rsidR="00A5323F">
              <w:t xml:space="preserve"> (Observing the plants during the elongation phase will help to determine when they are big enough </w:t>
            </w:r>
            <w:proofErr w:type="gramStart"/>
            <w:r w:rsidR="00A5323F">
              <w:t>to</w:t>
            </w:r>
            <w:proofErr w:type="gramEnd"/>
            <w:r w:rsidR="00A5323F">
              <w:t xml:space="preserve"> grown in the 2.5 L pots.  Roots should extend 2-3 inches at minimum in order to reach the nutrient solution.)</w:t>
            </w:r>
          </w:p>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4" w:type="dxa"/>
            <w:shd w:val="clear" w:color="auto" w:fill="EEECE1" w:themeFill="background2"/>
          </w:tcPr>
          <w:p w:rsidR="00F32C6B" w:rsidRDefault="00F32C6B"/>
        </w:tc>
      </w:tr>
      <w:tr w:rsidR="00F37788" w:rsidTr="00F37788">
        <w:trPr>
          <w:trHeight w:val="576"/>
        </w:trPr>
        <w:tc>
          <w:tcPr>
            <w:tcW w:w="1143" w:type="dxa"/>
            <w:shd w:val="clear" w:color="auto" w:fill="FFFFFF" w:themeFill="background1"/>
          </w:tcPr>
          <w:p w:rsidR="00F32C6B" w:rsidRDefault="00F32C6B">
            <w:r>
              <w:t>Week 5</w:t>
            </w:r>
          </w:p>
        </w:tc>
        <w:tc>
          <w:tcPr>
            <w:tcW w:w="765" w:type="dxa"/>
            <w:shd w:val="clear" w:color="auto" w:fill="EEECE1" w:themeFill="background2"/>
          </w:tcPr>
          <w:p w:rsidR="00F32C6B" w:rsidRDefault="00F32C6B"/>
        </w:tc>
        <w:tc>
          <w:tcPr>
            <w:tcW w:w="4500" w:type="dxa"/>
            <w:shd w:val="clear" w:color="auto" w:fill="EEECE1" w:themeFill="background2"/>
          </w:tcPr>
          <w:p w:rsidR="00F32C6B" w:rsidRDefault="00F32C6B">
            <w:r>
              <w:t>Replace full nutrient solution</w:t>
            </w:r>
          </w:p>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4" w:type="dxa"/>
            <w:shd w:val="clear" w:color="auto" w:fill="EEECE1" w:themeFill="background2"/>
          </w:tcPr>
          <w:p w:rsidR="00F32C6B" w:rsidRDefault="00F32C6B"/>
        </w:tc>
      </w:tr>
      <w:tr w:rsidR="00F37788" w:rsidTr="00F37788">
        <w:trPr>
          <w:trHeight w:val="576"/>
        </w:trPr>
        <w:tc>
          <w:tcPr>
            <w:tcW w:w="1143" w:type="dxa"/>
            <w:shd w:val="clear" w:color="auto" w:fill="FFFFFF" w:themeFill="background1"/>
          </w:tcPr>
          <w:p w:rsidR="00F32C6B" w:rsidRDefault="00F32C6B" w:rsidP="00F32C6B">
            <w:r>
              <w:t>Week 6</w:t>
            </w:r>
          </w:p>
        </w:tc>
        <w:tc>
          <w:tcPr>
            <w:tcW w:w="765" w:type="dxa"/>
            <w:shd w:val="clear" w:color="auto" w:fill="EEECE1" w:themeFill="background2"/>
          </w:tcPr>
          <w:p w:rsidR="00F32C6B" w:rsidRDefault="00F32C6B"/>
        </w:tc>
        <w:tc>
          <w:tcPr>
            <w:tcW w:w="4500" w:type="dxa"/>
            <w:shd w:val="clear" w:color="auto" w:fill="EEECE1" w:themeFill="background2"/>
          </w:tcPr>
          <w:p w:rsidR="00F32C6B" w:rsidRDefault="00F32C6B">
            <w:r>
              <w:t>Replace full nutrient solution</w:t>
            </w:r>
          </w:p>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4" w:type="dxa"/>
            <w:shd w:val="clear" w:color="auto" w:fill="EEECE1" w:themeFill="background2"/>
          </w:tcPr>
          <w:p w:rsidR="00F32C6B" w:rsidRDefault="00F32C6B"/>
        </w:tc>
      </w:tr>
      <w:tr w:rsidR="00F37788" w:rsidTr="00A5323F">
        <w:trPr>
          <w:trHeight w:val="576"/>
        </w:trPr>
        <w:tc>
          <w:tcPr>
            <w:tcW w:w="1143" w:type="dxa"/>
            <w:shd w:val="clear" w:color="auto" w:fill="FFFFFF" w:themeFill="background1"/>
          </w:tcPr>
          <w:p w:rsidR="00F32C6B" w:rsidRDefault="00F32C6B" w:rsidP="00F32C6B">
            <w:r>
              <w:t>Week 7</w:t>
            </w:r>
          </w:p>
        </w:tc>
        <w:tc>
          <w:tcPr>
            <w:tcW w:w="765" w:type="dxa"/>
            <w:shd w:val="clear" w:color="auto" w:fill="EEECE1" w:themeFill="background2"/>
          </w:tcPr>
          <w:p w:rsidR="00F32C6B" w:rsidRDefault="00F32C6B"/>
        </w:tc>
        <w:tc>
          <w:tcPr>
            <w:tcW w:w="4500" w:type="dxa"/>
            <w:shd w:val="clear" w:color="auto" w:fill="EEECE1" w:themeFill="background2"/>
          </w:tcPr>
          <w:p w:rsidR="00F32C6B" w:rsidRDefault="00A5323F">
            <w:r>
              <w:t>Replace full nutrient solution</w:t>
            </w:r>
          </w:p>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3" w:type="dxa"/>
            <w:shd w:val="clear" w:color="auto" w:fill="EEECE1" w:themeFill="background2"/>
          </w:tcPr>
          <w:p w:rsidR="00F32C6B" w:rsidRDefault="00F32C6B"/>
        </w:tc>
        <w:tc>
          <w:tcPr>
            <w:tcW w:w="634" w:type="dxa"/>
            <w:shd w:val="clear" w:color="auto" w:fill="EEECE1" w:themeFill="background2"/>
          </w:tcPr>
          <w:p w:rsidR="00F32C6B" w:rsidRDefault="00F32C6B"/>
        </w:tc>
        <w:tc>
          <w:tcPr>
            <w:tcW w:w="634" w:type="dxa"/>
            <w:shd w:val="clear" w:color="auto" w:fill="EEECE1" w:themeFill="background2"/>
          </w:tcPr>
          <w:p w:rsidR="00F32C6B" w:rsidRDefault="00F32C6B"/>
        </w:tc>
      </w:tr>
      <w:tr w:rsidR="00F37788" w:rsidTr="00A5323F">
        <w:trPr>
          <w:trHeight w:val="576"/>
        </w:trPr>
        <w:tc>
          <w:tcPr>
            <w:tcW w:w="1143" w:type="dxa"/>
            <w:shd w:val="clear" w:color="auto" w:fill="FFFFFF" w:themeFill="background1"/>
          </w:tcPr>
          <w:p w:rsidR="00F32C6B" w:rsidRDefault="00F32C6B" w:rsidP="00F32C6B">
            <w:r>
              <w:t>Week 8</w:t>
            </w:r>
          </w:p>
        </w:tc>
        <w:tc>
          <w:tcPr>
            <w:tcW w:w="765" w:type="dxa"/>
            <w:shd w:val="clear" w:color="auto" w:fill="EEECE1" w:themeFill="background2"/>
          </w:tcPr>
          <w:p w:rsidR="00F32C6B" w:rsidRDefault="00F32C6B"/>
        </w:tc>
        <w:tc>
          <w:tcPr>
            <w:tcW w:w="4500" w:type="dxa"/>
            <w:shd w:val="clear" w:color="auto" w:fill="DAEEF3" w:themeFill="accent5" w:themeFillTint="33"/>
          </w:tcPr>
          <w:p w:rsidR="00F32C6B" w:rsidRDefault="00A5323F">
            <w:r>
              <w:t>Induce treatments (It is recommended that treatments are induced only after a minimum of 4 weeks.  If possible, 6 weeks in the full nutrient solution may result in better deficiency symptoms)</w:t>
            </w:r>
          </w:p>
        </w:tc>
        <w:tc>
          <w:tcPr>
            <w:tcW w:w="633" w:type="dxa"/>
            <w:shd w:val="clear" w:color="auto" w:fill="DAEEF3" w:themeFill="accent5" w:themeFillTint="33"/>
          </w:tcPr>
          <w:p w:rsidR="00F32C6B" w:rsidRDefault="00F32C6B"/>
        </w:tc>
        <w:tc>
          <w:tcPr>
            <w:tcW w:w="634" w:type="dxa"/>
            <w:shd w:val="clear" w:color="auto" w:fill="DAEEF3" w:themeFill="accent5" w:themeFillTint="33"/>
          </w:tcPr>
          <w:p w:rsidR="00F32C6B" w:rsidRDefault="00F32C6B"/>
        </w:tc>
        <w:tc>
          <w:tcPr>
            <w:tcW w:w="633" w:type="dxa"/>
            <w:shd w:val="clear" w:color="auto" w:fill="DAEEF3" w:themeFill="accent5" w:themeFillTint="33"/>
          </w:tcPr>
          <w:p w:rsidR="00F32C6B" w:rsidRDefault="00F32C6B"/>
        </w:tc>
        <w:tc>
          <w:tcPr>
            <w:tcW w:w="634" w:type="dxa"/>
            <w:shd w:val="clear" w:color="auto" w:fill="DAEEF3" w:themeFill="accent5" w:themeFillTint="33"/>
          </w:tcPr>
          <w:p w:rsidR="00F32C6B" w:rsidRDefault="00F32C6B"/>
        </w:tc>
        <w:tc>
          <w:tcPr>
            <w:tcW w:w="634" w:type="dxa"/>
            <w:shd w:val="clear" w:color="auto" w:fill="DAEEF3" w:themeFill="accent5" w:themeFillTint="33"/>
          </w:tcPr>
          <w:p w:rsidR="00F32C6B" w:rsidRDefault="00F32C6B"/>
        </w:tc>
      </w:tr>
      <w:tr w:rsidR="00F37788" w:rsidTr="00F37788">
        <w:trPr>
          <w:trHeight w:val="576"/>
        </w:trPr>
        <w:tc>
          <w:tcPr>
            <w:tcW w:w="1143" w:type="dxa"/>
            <w:shd w:val="clear" w:color="auto" w:fill="FFFFFF" w:themeFill="background1"/>
          </w:tcPr>
          <w:p w:rsidR="00F32C6B" w:rsidRDefault="00F32C6B" w:rsidP="00F32C6B">
            <w:r>
              <w:t>Week 9</w:t>
            </w:r>
          </w:p>
        </w:tc>
        <w:tc>
          <w:tcPr>
            <w:tcW w:w="765" w:type="dxa"/>
            <w:shd w:val="clear" w:color="auto" w:fill="DAEEF3" w:themeFill="accent5" w:themeFillTint="33"/>
          </w:tcPr>
          <w:p w:rsidR="00F32C6B" w:rsidRDefault="00F32C6B"/>
        </w:tc>
        <w:tc>
          <w:tcPr>
            <w:tcW w:w="4500" w:type="dxa"/>
            <w:shd w:val="clear" w:color="auto" w:fill="DAEEF3" w:themeFill="accent5" w:themeFillTint="33"/>
          </w:tcPr>
          <w:p w:rsidR="00F32C6B" w:rsidRDefault="00A5323F">
            <w:r>
              <w:t>Replace treatment solution</w:t>
            </w:r>
          </w:p>
        </w:tc>
        <w:tc>
          <w:tcPr>
            <w:tcW w:w="633" w:type="dxa"/>
            <w:shd w:val="clear" w:color="auto" w:fill="DAEEF3" w:themeFill="accent5" w:themeFillTint="33"/>
          </w:tcPr>
          <w:p w:rsidR="00F32C6B" w:rsidRDefault="00F32C6B"/>
        </w:tc>
        <w:tc>
          <w:tcPr>
            <w:tcW w:w="634" w:type="dxa"/>
            <w:shd w:val="clear" w:color="auto" w:fill="DAEEF3" w:themeFill="accent5" w:themeFillTint="33"/>
          </w:tcPr>
          <w:p w:rsidR="00F32C6B" w:rsidRDefault="00F32C6B"/>
        </w:tc>
        <w:tc>
          <w:tcPr>
            <w:tcW w:w="633" w:type="dxa"/>
            <w:shd w:val="clear" w:color="auto" w:fill="DAEEF3" w:themeFill="accent5" w:themeFillTint="33"/>
          </w:tcPr>
          <w:p w:rsidR="00F32C6B" w:rsidRDefault="00F32C6B"/>
        </w:tc>
        <w:tc>
          <w:tcPr>
            <w:tcW w:w="634" w:type="dxa"/>
            <w:shd w:val="clear" w:color="auto" w:fill="DAEEF3" w:themeFill="accent5" w:themeFillTint="33"/>
          </w:tcPr>
          <w:p w:rsidR="00F32C6B" w:rsidRDefault="00F32C6B"/>
        </w:tc>
        <w:tc>
          <w:tcPr>
            <w:tcW w:w="634" w:type="dxa"/>
            <w:shd w:val="clear" w:color="auto" w:fill="DAEEF3" w:themeFill="accent5" w:themeFillTint="33"/>
          </w:tcPr>
          <w:p w:rsidR="00F32C6B" w:rsidRDefault="00F32C6B"/>
        </w:tc>
      </w:tr>
      <w:tr w:rsidR="00A5323F" w:rsidTr="00F37788">
        <w:trPr>
          <w:trHeight w:val="576"/>
        </w:trPr>
        <w:tc>
          <w:tcPr>
            <w:tcW w:w="1143" w:type="dxa"/>
            <w:shd w:val="clear" w:color="auto" w:fill="FFFFFF" w:themeFill="background1"/>
          </w:tcPr>
          <w:p w:rsidR="00A5323F" w:rsidRDefault="00347B0C" w:rsidP="00F32C6B">
            <w:r>
              <w:t>Week 10</w:t>
            </w:r>
          </w:p>
        </w:tc>
        <w:tc>
          <w:tcPr>
            <w:tcW w:w="765" w:type="dxa"/>
            <w:shd w:val="clear" w:color="auto" w:fill="DAEEF3" w:themeFill="accent5" w:themeFillTint="33"/>
          </w:tcPr>
          <w:p w:rsidR="00A5323F" w:rsidRDefault="00A5323F"/>
        </w:tc>
        <w:tc>
          <w:tcPr>
            <w:tcW w:w="4500" w:type="dxa"/>
            <w:shd w:val="clear" w:color="auto" w:fill="DAEEF3" w:themeFill="accent5" w:themeFillTint="33"/>
          </w:tcPr>
          <w:p w:rsidR="00A5323F" w:rsidRDefault="00A5323F">
            <w:r>
              <w:t>Replace treatment solution</w:t>
            </w:r>
          </w:p>
        </w:tc>
        <w:tc>
          <w:tcPr>
            <w:tcW w:w="633" w:type="dxa"/>
            <w:shd w:val="clear" w:color="auto" w:fill="DAEEF3" w:themeFill="accent5" w:themeFillTint="33"/>
          </w:tcPr>
          <w:p w:rsidR="00A5323F" w:rsidRDefault="00A5323F"/>
        </w:tc>
        <w:tc>
          <w:tcPr>
            <w:tcW w:w="634" w:type="dxa"/>
            <w:shd w:val="clear" w:color="auto" w:fill="DAEEF3" w:themeFill="accent5" w:themeFillTint="33"/>
          </w:tcPr>
          <w:p w:rsidR="00A5323F" w:rsidRDefault="00A5323F"/>
        </w:tc>
        <w:tc>
          <w:tcPr>
            <w:tcW w:w="633" w:type="dxa"/>
            <w:shd w:val="clear" w:color="auto" w:fill="DAEEF3" w:themeFill="accent5" w:themeFillTint="33"/>
          </w:tcPr>
          <w:p w:rsidR="00A5323F" w:rsidRDefault="00A5323F"/>
        </w:tc>
        <w:tc>
          <w:tcPr>
            <w:tcW w:w="634" w:type="dxa"/>
            <w:shd w:val="clear" w:color="auto" w:fill="DAEEF3" w:themeFill="accent5" w:themeFillTint="33"/>
          </w:tcPr>
          <w:p w:rsidR="00A5323F" w:rsidRDefault="00A5323F"/>
        </w:tc>
        <w:tc>
          <w:tcPr>
            <w:tcW w:w="634" w:type="dxa"/>
            <w:shd w:val="clear" w:color="auto" w:fill="DAEEF3" w:themeFill="accent5" w:themeFillTint="33"/>
          </w:tcPr>
          <w:p w:rsidR="00A5323F" w:rsidRDefault="00A5323F"/>
        </w:tc>
      </w:tr>
      <w:tr w:rsidR="0061714B" w:rsidTr="00F37788">
        <w:trPr>
          <w:trHeight w:val="576"/>
        </w:trPr>
        <w:tc>
          <w:tcPr>
            <w:tcW w:w="1143" w:type="dxa"/>
            <w:shd w:val="clear" w:color="auto" w:fill="FFFFFF" w:themeFill="background1"/>
          </w:tcPr>
          <w:p w:rsidR="0061714B" w:rsidRDefault="00347B0C" w:rsidP="00347B0C">
            <w:r>
              <w:t>Week 11</w:t>
            </w:r>
          </w:p>
        </w:tc>
        <w:tc>
          <w:tcPr>
            <w:tcW w:w="765" w:type="dxa"/>
            <w:shd w:val="clear" w:color="auto" w:fill="DAEEF3" w:themeFill="accent5" w:themeFillTint="33"/>
          </w:tcPr>
          <w:p w:rsidR="0061714B" w:rsidRDefault="0061714B"/>
        </w:tc>
        <w:tc>
          <w:tcPr>
            <w:tcW w:w="4500" w:type="dxa"/>
            <w:shd w:val="clear" w:color="auto" w:fill="DAEEF3" w:themeFill="accent5" w:themeFillTint="33"/>
          </w:tcPr>
          <w:p w:rsidR="0061714B" w:rsidRDefault="0061714B">
            <w:r>
              <w:t>Replace treatment solution</w:t>
            </w:r>
          </w:p>
        </w:tc>
        <w:tc>
          <w:tcPr>
            <w:tcW w:w="633" w:type="dxa"/>
            <w:shd w:val="clear" w:color="auto" w:fill="DAEEF3" w:themeFill="accent5" w:themeFillTint="33"/>
          </w:tcPr>
          <w:p w:rsidR="0061714B" w:rsidRDefault="0061714B"/>
        </w:tc>
        <w:tc>
          <w:tcPr>
            <w:tcW w:w="634" w:type="dxa"/>
            <w:shd w:val="clear" w:color="auto" w:fill="DAEEF3" w:themeFill="accent5" w:themeFillTint="33"/>
          </w:tcPr>
          <w:p w:rsidR="0061714B" w:rsidRDefault="0061714B"/>
        </w:tc>
        <w:tc>
          <w:tcPr>
            <w:tcW w:w="633" w:type="dxa"/>
            <w:shd w:val="clear" w:color="auto" w:fill="DAEEF3" w:themeFill="accent5" w:themeFillTint="33"/>
          </w:tcPr>
          <w:p w:rsidR="0061714B" w:rsidRDefault="0061714B"/>
        </w:tc>
        <w:tc>
          <w:tcPr>
            <w:tcW w:w="634" w:type="dxa"/>
            <w:shd w:val="clear" w:color="auto" w:fill="DAEEF3" w:themeFill="accent5" w:themeFillTint="33"/>
          </w:tcPr>
          <w:p w:rsidR="0061714B" w:rsidRDefault="0061714B"/>
        </w:tc>
        <w:tc>
          <w:tcPr>
            <w:tcW w:w="634" w:type="dxa"/>
            <w:shd w:val="clear" w:color="auto" w:fill="DAEEF3" w:themeFill="accent5" w:themeFillTint="33"/>
          </w:tcPr>
          <w:p w:rsidR="0061714B" w:rsidRDefault="0061714B"/>
        </w:tc>
      </w:tr>
      <w:tr w:rsidR="00A71943" w:rsidTr="00F37788">
        <w:trPr>
          <w:trHeight w:val="576"/>
        </w:trPr>
        <w:tc>
          <w:tcPr>
            <w:tcW w:w="1143" w:type="dxa"/>
            <w:shd w:val="clear" w:color="auto" w:fill="FFFFFF" w:themeFill="background1"/>
          </w:tcPr>
          <w:p w:rsidR="00F32C6B" w:rsidRDefault="00347B0C" w:rsidP="00F32C6B">
            <w:r>
              <w:t>Week 10 - 12</w:t>
            </w:r>
          </w:p>
        </w:tc>
        <w:tc>
          <w:tcPr>
            <w:tcW w:w="765" w:type="dxa"/>
            <w:shd w:val="clear" w:color="auto" w:fill="DAEEF3" w:themeFill="accent5" w:themeFillTint="33"/>
          </w:tcPr>
          <w:p w:rsidR="00F32C6B" w:rsidRDefault="00F32C6B"/>
        </w:tc>
        <w:tc>
          <w:tcPr>
            <w:tcW w:w="4500" w:type="dxa"/>
            <w:shd w:val="clear" w:color="auto" w:fill="FFFF00"/>
          </w:tcPr>
          <w:p w:rsidR="00F32C6B" w:rsidRDefault="00F32C6B" w:rsidP="006A1FB2">
            <w:r>
              <w:t>Observation and Assessment</w:t>
            </w:r>
            <w:r w:rsidR="00A5323F">
              <w:t xml:space="preserve"> (The timing of this is very flexible.  If time allows, it might be worthwhile to begin observation as soon as the treatments are induced for students to see the rate at which the deficiencies develop.)</w:t>
            </w:r>
          </w:p>
        </w:tc>
        <w:tc>
          <w:tcPr>
            <w:tcW w:w="633" w:type="dxa"/>
            <w:shd w:val="clear" w:color="auto" w:fill="FFFF00"/>
          </w:tcPr>
          <w:p w:rsidR="00F32C6B" w:rsidRDefault="00F32C6B"/>
        </w:tc>
        <w:tc>
          <w:tcPr>
            <w:tcW w:w="634" w:type="dxa"/>
            <w:shd w:val="clear" w:color="auto" w:fill="FFFF00"/>
          </w:tcPr>
          <w:p w:rsidR="00F32C6B" w:rsidRDefault="00F32C6B"/>
        </w:tc>
        <w:tc>
          <w:tcPr>
            <w:tcW w:w="633" w:type="dxa"/>
            <w:shd w:val="clear" w:color="auto" w:fill="FFFF00"/>
          </w:tcPr>
          <w:p w:rsidR="00F32C6B" w:rsidRDefault="00F32C6B"/>
        </w:tc>
        <w:tc>
          <w:tcPr>
            <w:tcW w:w="634" w:type="dxa"/>
            <w:shd w:val="clear" w:color="auto" w:fill="FFFF00"/>
          </w:tcPr>
          <w:p w:rsidR="00F32C6B" w:rsidRDefault="00F32C6B"/>
        </w:tc>
        <w:tc>
          <w:tcPr>
            <w:tcW w:w="634" w:type="dxa"/>
            <w:shd w:val="clear" w:color="auto" w:fill="FFFF00"/>
          </w:tcPr>
          <w:p w:rsidR="00F32C6B" w:rsidRDefault="00F32C6B"/>
        </w:tc>
      </w:tr>
    </w:tbl>
    <w:p w:rsidR="0085339D" w:rsidRDefault="0085339D"/>
    <w:p w:rsidR="0032064A" w:rsidRDefault="0032064A"/>
    <w:sectPr w:rsidR="0032064A" w:rsidSect="002D4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9D"/>
    <w:rsid w:val="002D453E"/>
    <w:rsid w:val="00305103"/>
    <w:rsid w:val="0032064A"/>
    <w:rsid w:val="00347B0C"/>
    <w:rsid w:val="0061714B"/>
    <w:rsid w:val="006A1FB2"/>
    <w:rsid w:val="00823689"/>
    <w:rsid w:val="0085339D"/>
    <w:rsid w:val="008C11EE"/>
    <w:rsid w:val="00A5323F"/>
    <w:rsid w:val="00A71943"/>
    <w:rsid w:val="00B63CC0"/>
    <w:rsid w:val="00B92748"/>
    <w:rsid w:val="00D04C22"/>
    <w:rsid w:val="00F32C6B"/>
    <w:rsid w:val="00F37788"/>
    <w:rsid w:val="00F7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064A"/>
    <w:rPr>
      <w:sz w:val="16"/>
      <w:szCs w:val="16"/>
    </w:rPr>
  </w:style>
  <w:style w:type="paragraph" w:styleId="CommentText">
    <w:name w:val="annotation text"/>
    <w:basedOn w:val="Normal"/>
    <w:link w:val="CommentTextChar"/>
    <w:uiPriority w:val="99"/>
    <w:semiHidden/>
    <w:unhideWhenUsed/>
    <w:rsid w:val="003206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206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064A"/>
    <w:rPr>
      <w:sz w:val="16"/>
      <w:szCs w:val="16"/>
    </w:rPr>
  </w:style>
  <w:style w:type="paragraph" w:styleId="CommentText">
    <w:name w:val="annotation text"/>
    <w:basedOn w:val="Normal"/>
    <w:link w:val="CommentTextChar"/>
    <w:uiPriority w:val="99"/>
    <w:semiHidden/>
    <w:unhideWhenUsed/>
    <w:rsid w:val="003206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206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eevans</dc:creator>
  <cp:lastModifiedBy>Carmen Fernholz</cp:lastModifiedBy>
  <cp:revision>2</cp:revision>
  <dcterms:created xsi:type="dcterms:W3CDTF">2013-09-24T13:54:00Z</dcterms:created>
  <dcterms:modified xsi:type="dcterms:W3CDTF">2013-09-24T13:54:00Z</dcterms:modified>
</cp:coreProperties>
</file>