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BD" w:rsidRDefault="000F2CBD">
      <w:pPr>
        <w:rPr>
          <w:b/>
        </w:rPr>
      </w:pPr>
    </w:p>
    <w:p w:rsidR="00E87635" w:rsidRDefault="00E87635">
      <w:pPr>
        <w:rPr>
          <w:b/>
        </w:rPr>
      </w:pPr>
      <w:r w:rsidRPr="00E87635">
        <w:rPr>
          <w:b/>
        </w:rPr>
        <w:t xml:space="preserve">Impacts and Contributions/Outcomes </w:t>
      </w:r>
    </w:p>
    <w:p w:rsidR="000F2CBD" w:rsidRDefault="00883587" w:rsidP="000F2CBD">
      <w:pPr>
        <w:pStyle w:val="NoSpacing"/>
      </w:pPr>
      <w:r>
        <w:t>Table 1</w:t>
      </w:r>
      <w:r w:rsidR="000F2CBD">
        <w:t xml:space="preserve">. Results of </w:t>
      </w:r>
      <w:r w:rsidR="000F2CBD">
        <w:rPr>
          <w:i/>
        </w:rPr>
        <w:t>t</w:t>
      </w:r>
      <w:r w:rsidR="000F2CBD">
        <w:t xml:space="preserve"> -tests conducted on nest-site vegetative characteristics between high and low ventenata sites. Variables were calculated by averaging the four transects for each nest box.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2668"/>
        <w:gridCol w:w="1729"/>
        <w:gridCol w:w="1689"/>
        <w:gridCol w:w="1012"/>
      </w:tblGrid>
      <w:tr w:rsidR="000F2CBD" w:rsidTr="00391BE4">
        <w:trPr>
          <w:jc w:val="center"/>
        </w:trPr>
        <w:tc>
          <w:tcPr>
            <w:tcW w:w="0" w:type="auto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>Variables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>
              <w:t>High Ventenata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>
              <w:t>Low Ventenata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rPr>
                <w:i/>
              </w:rPr>
              <w:t>P</w:t>
            </w:r>
            <w:r>
              <w:t>-value</w:t>
            </w:r>
          </w:p>
        </w:tc>
      </w:tr>
      <w:tr w:rsidR="000F2CBD" w:rsidTr="00391BE4">
        <w:trPr>
          <w:jc w:val="center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 w:rsidRPr="00DE1B63">
              <w:rPr>
                <w:rFonts w:cs="Times New Roman"/>
                <w:sz w:val="28"/>
                <w:szCs w:val="28"/>
              </w:rPr>
              <w:fldChar w:fldCharType="begin"/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color w:val="000000"/>
                <w:sz w:val="28"/>
                <w:szCs w:val="28"/>
              </w:rPr>
              <w:instrText>EQ \O(x,ˉ)</w:instrText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sz w:val="28"/>
                <w:szCs w:val="28"/>
              </w:rPr>
              <w:fldChar w:fldCharType="end"/>
            </w:r>
            <w:r w:rsidRPr="00744728">
              <w:softHyphen/>
              <w:t>± 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 w:rsidRPr="00DE1B63">
              <w:rPr>
                <w:rFonts w:cs="Times New Roman"/>
                <w:sz w:val="28"/>
                <w:szCs w:val="28"/>
              </w:rPr>
              <w:fldChar w:fldCharType="begin"/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color w:val="000000"/>
                <w:sz w:val="28"/>
                <w:szCs w:val="28"/>
              </w:rPr>
              <w:instrText>EQ \O(x,ˉ)</w:instrText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sz w:val="28"/>
                <w:szCs w:val="28"/>
              </w:rPr>
              <w:fldChar w:fldCharType="end"/>
            </w:r>
            <w:r w:rsidRPr="00744728">
              <w:softHyphen/>
              <w:t>± 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</w:p>
        </w:tc>
      </w:tr>
      <w:tr w:rsidR="000F2CBD" w:rsidTr="00391BE4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0F2CBD" w:rsidRDefault="000F2CBD" w:rsidP="00391BE4">
            <w:pPr>
              <w:pStyle w:val="NoSpacing"/>
            </w:pPr>
            <w:r>
              <w:t>Ventenata cover (%)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0.53 </w:t>
            </w:r>
            <w:r>
              <w:rPr>
                <w:rFonts w:cs="Times New Roman"/>
              </w:rPr>
              <w:t>± 0.02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0.04 </w:t>
            </w:r>
            <w:r>
              <w:rPr>
                <w:rFonts w:cs="Times New Roman"/>
              </w:rPr>
              <w:t>± 0.008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2CBD" w:rsidRDefault="000F2CBD" w:rsidP="00391BE4">
            <w:pPr>
              <w:pStyle w:val="NoSpacing"/>
              <w:jc w:val="right"/>
            </w:pPr>
            <w:r>
              <w:t>&lt;0.0001</w:t>
            </w:r>
          </w:p>
        </w:tc>
      </w:tr>
      <w:tr w:rsidR="000F2CBD" w:rsidTr="00391BE4">
        <w:trPr>
          <w:jc w:val="center"/>
        </w:trPr>
        <w:tc>
          <w:tcPr>
            <w:tcW w:w="0" w:type="auto"/>
            <w:gridSpan w:val="2"/>
          </w:tcPr>
          <w:p w:rsidR="000F2CBD" w:rsidRDefault="000F2CBD" w:rsidP="00391BE4">
            <w:pPr>
              <w:pStyle w:val="NoSpacing"/>
            </w:pPr>
            <w:r>
              <w:t>Grass cover (%)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0.10 </w:t>
            </w:r>
            <w:r>
              <w:rPr>
                <w:rFonts w:cs="Times New Roman"/>
              </w:rPr>
              <w:t>± 0.01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0.76 </w:t>
            </w:r>
            <w:r>
              <w:rPr>
                <w:rFonts w:cs="Times New Roman"/>
              </w:rPr>
              <w:t>± 0.02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right"/>
            </w:pPr>
            <w:r>
              <w:t>&lt;0.0001</w:t>
            </w:r>
          </w:p>
        </w:tc>
      </w:tr>
      <w:tr w:rsidR="000F2CBD" w:rsidTr="00391BE4">
        <w:trPr>
          <w:jc w:val="center"/>
        </w:trPr>
        <w:tc>
          <w:tcPr>
            <w:tcW w:w="0" w:type="auto"/>
            <w:gridSpan w:val="2"/>
          </w:tcPr>
          <w:p w:rsidR="000F2CBD" w:rsidRDefault="000F2CBD" w:rsidP="00391BE4">
            <w:pPr>
              <w:pStyle w:val="NoSpacing"/>
            </w:pPr>
            <w:r>
              <w:t>Forb cover (%)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0.23 </w:t>
            </w:r>
            <w:r>
              <w:rPr>
                <w:rFonts w:cs="Times New Roman"/>
              </w:rPr>
              <w:t>± 0.02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0.15 </w:t>
            </w:r>
            <w:r>
              <w:rPr>
                <w:rFonts w:cs="Times New Roman"/>
              </w:rPr>
              <w:t>± 0.02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right"/>
            </w:pPr>
            <w:r>
              <w:t>0.0051</w:t>
            </w:r>
          </w:p>
        </w:tc>
      </w:tr>
      <w:tr w:rsidR="000F2CBD" w:rsidTr="00391BE4">
        <w:trPr>
          <w:jc w:val="center"/>
        </w:trPr>
        <w:tc>
          <w:tcPr>
            <w:tcW w:w="0" w:type="auto"/>
            <w:gridSpan w:val="2"/>
          </w:tcPr>
          <w:p w:rsidR="000F2CBD" w:rsidRDefault="000F2CBD" w:rsidP="00391BE4">
            <w:pPr>
              <w:pStyle w:val="NoSpacing"/>
            </w:pPr>
            <w:r>
              <w:t>Weed cover (%)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0.14 </w:t>
            </w:r>
            <w:r>
              <w:rPr>
                <w:rFonts w:cs="Times New Roman"/>
              </w:rPr>
              <w:t>± 0.02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0.05 </w:t>
            </w:r>
            <w:r>
              <w:rPr>
                <w:rFonts w:cs="Times New Roman"/>
              </w:rPr>
              <w:t>± 0.01</w:t>
            </w:r>
          </w:p>
        </w:tc>
        <w:tc>
          <w:tcPr>
            <w:tcW w:w="0" w:type="auto"/>
          </w:tcPr>
          <w:p w:rsidR="000F2CBD" w:rsidRDefault="000F2CBD" w:rsidP="00391BE4">
            <w:pPr>
              <w:pStyle w:val="NoSpacing"/>
              <w:jc w:val="right"/>
            </w:pPr>
            <w:r>
              <w:t>&lt;0.0001</w:t>
            </w:r>
          </w:p>
        </w:tc>
      </w:tr>
      <w:tr w:rsidR="000F2CBD" w:rsidTr="00391BE4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</w:pPr>
            <w:r>
              <w:t>Vegetation height (</w:t>
            </w:r>
            <w:proofErr w:type="spellStart"/>
            <w:r>
              <w:t>dm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1.48 </w:t>
            </w:r>
            <w:r>
              <w:rPr>
                <w:rFonts w:cs="Times New Roman"/>
              </w:rPr>
              <w:t>± 0.07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3.46 </w:t>
            </w:r>
            <w:r>
              <w:rPr>
                <w:rFonts w:cs="Times New Roman"/>
              </w:rPr>
              <w:t>± 0.3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  <w:jc w:val="right"/>
            </w:pPr>
            <w:r>
              <w:t>&lt;0.0001</w:t>
            </w:r>
          </w:p>
        </w:tc>
      </w:tr>
      <w:tr w:rsidR="000F2CBD" w:rsidTr="00391BE4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>Total plant diversity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0F2CBD" w:rsidRDefault="000F2CBD" w:rsidP="00391BE4">
            <w:pPr>
              <w:pStyle w:val="NoSpacing"/>
            </w:pPr>
            <w:r>
              <w:t xml:space="preserve">Shannon-Wiener </w:t>
            </w:r>
          </w:p>
          <w:p w:rsidR="000F2CBD" w:rsidRDefault="000F2CBD" w:rsidP="00391BE4">
            <w:pPr>
              <w:pStyle w:val="NoSpacing"/>
            </w:pPr>
            <w:r>
              <w:t>Diversity Index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1.43 </w:t>
            </w:r>
            <w:r>
              <w:rPr>
                <w:rFonts w:cs="Times New Roman"/>
              </w:rPr>
              <w:t>± 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1.14 </w:t>
            </w:r>
            <w:r>
              <w:rPr>
                <w:rFonts w:cs="Times New Roman"/>
              </w:rPr>
              <w:t>± 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>&lt;0.0001</w:t>
            </w:r>
          </w:p>
        </w:tc>
      </w:tr>
      <w:tr w:rsidR="000F2CBD" w:rsidTr="00391BE4">
        <w:trPr>
          <w:trHeight w:val="467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0F2CBD" w:rsidRDefault="000F2CBD" w:rsidP="00391BE4">
            <w:pPr>
              <w:pStyle w:val="NoSpacing"/>
            </w:pPr>
            <w:r>
              <w:t>Simpson Reciprocal</w:t>
            </w:r>
          </w:p>
          <w:p w:rsidR="000F2CBD" w:rsidRDefault="000F2CBD" w:rsidP="00391BE4">
            <w:pPr>
              <w:pStyle w:val="NoSpacing"/>
            </w:pPr>
            <w:r>
              <w:t>Diversity Index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 xml:space="preserve">0.78 </w:t>
            </w:r>
            <w:r>
              <w:rPr>
                <w:rFonts w:cs="Times New Roman"/>
              </w:rPr>
              <w:t>± 0.02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rPr>
                <w:rFonts w:cs="Times New Roman"/>
              </w:rPr>
              <w:t>0.56 ± 0.02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Default="000F2CBD" w:rsidP="00391BE4">
            <w:pPr>
              <w:pStyle w:val="NoSpacing"/>
              <w:jc w:val="center"/>
            </w:pPr>
            <w:r>
              <w:t>&lt;0.0001</w:t>
            </w:r>
          </w:p>
        </w:tc>
      </w:tr>
    </w:tbl>
    <w:p w:rsidR="000F2CBD" w:rsidRDefault="000F2CBD" w:rsidP="000F2CBD">
      <w:pPr>
        <w:pStyle w:val="NoSpacing"/>
      </w:pPr>
    </w:p>
    <w:p w:rsidR="000F2CBD" w:rsidRDefault="000F2CBD" w:rsidP="000F2CBD">
      <w:pPr>
        <w:pStyle w:val="NoSpacing"/>
      </w:pPr>
    </w:p>
    <w:p w:rsidR="000F2CBD" w:rsidRDefault="000F2CBD" w:rsidP="000F2CBD">
      <w:pPr>
        <w:pStyle w:val="NoSpacing"/>
      </w:pPr>
    </w:p>
    <w:p w:rsidR="000F2CBD" w:rsidRDefault="000F2CBD" w:rsidP="000F2CBD">
      <w:pPr>
        <w:pStyle w:val="NoSpacing"/>
      </w:pPr>
    </w:p>
    <w:p w:rsidR="000F2CBD" w:rsidRDefault="00883587" w:rsidP="000F2CBD">
      <w:pPr>
        <w:pStyle w:val="NoSpacing"/>
      </w:pPr>
      <w:r>
        <w:t>Table 2</w:t>
      </w:r>
      <w:r w:rsidR="000F2CBD">
        <w:t xml:space="preserve">. Average number of individuals per trap period. The 0-3 mm size class is expressed as number of insects per 100 sq. cm. All other size classes are represented as the number of insects per 500 sq. cm. 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1096"/>
        <w:gridCol w:w="1189"/>
        <w:gridCol w:w="748"/>
        <w:gridCol w:w="628"/>
        <w:gridCol w:w="656"/>
        <w:gridCol w:w="592"/>
      </w:tblGrid>
      <w:tr w:rsidR="000F2CBD" w:rsidRPr="009E7A6A" w:rsidTr="00391BE4">
        <w:trPr>
          <w:trHeight w:val="30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F2CBD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Trapping </w:t>
            </w:r>
          </w:p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Period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 xml:space="preserve">Ventenata </w:t>
            </w:r>
          </w:p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Cover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Size Classes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(mm)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bCs/>
                <w:color w:val="000000"/>
                <w:szCs w:val="24"/>
              </w:rPr>
              <w:t>0-3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bCs/>
                <w:color w:val="000000"/>
                <w:szCs w:val="24"/>
              </w:rPr>
              <w:t>3-5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bCs/>
                <w:color w:val="000000"/>
                <w:szCs w:val="24"/>
              </w:rPr>
              <w:t>5-10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bCs/>
                <w:color w:val="000000"/>
                <w:szCs w:val="24"/>
              </w:rPr>
              <w:t>15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>+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0.6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33.3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1.8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0.1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21.8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0.8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0.1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85.7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7.2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0.0</w:t>
            </w:r>
          </w:p>
        </w:tc>
      </w:tr>
      <w:tr w:rsidR="000F2CBD" w:rsidRPr="009E7A6A" w:rsidTr="00391BE4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E7A6A">
              <w:rPr>
                <w:rFonts w:eastAsia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48.8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  <w:r w:rsidRPr="009E7A6A">
              <w:rPr>
                <w:rFonts w:eastAsia="Times New Roman" w:cs="Times New Roman"/>
                <w:color w:val="000000"/>
                <w:szCs w:val="24"/>
              </w:rPr>
              <w:t>7</w:t>
            </w:r>
            <w:r w:rsidRPr="00DF3D4F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BD" w:rsidRPr="009E7A6A" w:rsidRDefault="000F2CBD" w:rsidP="00391BE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0.2</w:t>
            </w:r>
          </w:p>
        </w:tc>
      </w:tr>
    </w:tbl>
    <w:p w:rsidR="000F2CBD" w:rsidRDefault="000F2CBD" w:rsidP="000F2CBD">
      <w:pPr>
        <w:pStyle w:val="NoSpacing"/>
      </w:pPr>
      <w:proofErr w:type="spellStart"/>
      <w:r w:rsidRPr="00DF3D4F">
        <w:rPr>
          <w:rFonts w:eastAsia="Times New Roman"/>
          <w:color w:val="000000"/>
          <w:vertAlign w:val="superscript"/>
        </w:rPr>
        <w:t>a</w:t>
      </w:r>
      <w:proofErr w:type="spellEnd"/>
      <w:r>
        <w:t xml:space="preserve"> Indicates a significant difference between high and low ventenata sites at α = 0.05.</w:t>
      </w:r>
    </w:p>
    <w:p w:rsidR="000F2CBD" w:rsidRDefault="000F2CBD" w:rsidP="000F2CBD">
      <w:pPr>
        <w:pStyle w:val="NoSpacing"/>
      </w:pPr>
      <w:r>
        <w:rPr>
          <w:rFonts w:eastAsia="Times New Roman"/>
          <w:color w:val="000000"/>
          <w:vertAlign w:val="superscript"/>
        </w:rPr>
        <w:t xml:space="preserve">b </w:t>
      </w:r>
      <w:r>
        <w:t>Indicates a significant difference between high and low ventenata sites at α = 0.1.</w:t>
      </w:r>
    </w:p>
    <w:p w:rsidR="00883587" w:rsidRDefault="00883587" w:rsidP="000F2CBD">
      <w:pPr>
        <w:pStyle w:val="NoSpacing"/>
      </w:pPr>
    </w:p>
    <w:p w:rsidR="00883587" w:rsidRPr="00744728" w:rsidRDefault="00883587" w:rsidP="00883587">
      <w:pPr>
        <w:pStyle w:val="NoSpacing"/>
      </w:pPr>
      <w:r>
        <w:t>Table 3</w:t>
      </w:r>
      <w:bookmarkStart w:id="0" w:name="_GoBack"/>
      <w:bookmarkEnd w:id="0"/>
      <w:r>
        <w:t xml:space="preserve">. Nest-site characteristics of nest box averages comparing high and low ventenata sites. Mean and standard error reported. </w:t>
      </w:r>
    </w:p>
    <w:tbl>
      <w:tblPr>
        <w:tblW w:w="0" w:type="auto"/>
        <w:jc w:val="center"/>
        <w:tblBorders>
          <w:top w:val="doub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729"/>
        <w:gridCol w:w="1689"/>
        <w:gridCol w:w="963"/>
      </w:tblGrid>
      <w:tr w:rsidR="00883587" w:rsidTr="000D75FC">
        <w:trPr>
          <w:jc w:val="center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587" w:rsidRPr="00744728" w:rsidRDefault="00883587" w:rsidP="000D75FC">
            <w:pPr>
              <w:pStyle w:val="NoSpacing"/>
              <w:jc w:val="center"/>
            </w:pPr>
            <w:r>
              <w:t>Variables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High Ventenata</w:t>
            </w:r>
          </w:p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(</w:t>
            </w:r>
            <w:r w:rsidRPr="00550C3F">
              <w:rPr>
                <w:i/>
              </w:rPr>
              <w:t>n</w:t>
            </w:r>
            <w:r w:rsidRPr="00744728">
              <w:t>=</w:t>
            </w:r>
            <w:r>
              <w:t>56</w:t>
            </w:r>
            <w:r w:rsidRPr="00744728">
              <w:t>)</w:t>
            </w:r>
          </w:p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softHyphen/>
            </w:r>
            <w:r w:rsidRPr="00744728">
              <w:softHyphen/>
            </w:r>
            <w:r w:rsidRPr="00744728">
              <w:softHyphen/>
            </w:r>
            <w:r w:rsidRPr="00744728">
              <w:softHyphen/>
            </w:r>
            <w:r w:rsidRPr="00744728">
              <w:softHyphen/>
            </w:r>
            <w:r w:rsidRPr="00744728">
              <w:softHyphen/>
            </w:r>
            <w:r w:rsidRPr="00744728">
              <w:softHyphen/>
            </w:r>
            <w:r w:rsidRPr="00DE1B63">
              <w:rPr>
                <w:rFonts w:cs="Times New Roman"/>
                <w:sz w:val="28"/>
                <w:szCs w:val="28"/>
              </w:rPr>
              <w:fldChar w:fldCharType="begin"/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color w:val="000000"/>
                <w:sz w:val="28"/>
                <w:szCs w:val="28"/>
              </w:rPr>
              <w:instrText>EQ \O(x,ˉ)</w:instrText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sz w:val="28"/>
                <w:szCs w:val="28"/>
              </w:rPr>
              <w:fldChar w:fldCharType="end"/>
            </w:r>
            <w:r w:rsidRPr="00744728">
              <w:softHyphen/>
              <w:t>± SE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Low Ventenata</w:t>
            </w:r>
          </w:p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(</w:t>
            </w:r>
            <w:r w:rsidRPr="00550C3F">
              <w:rPr>
                <w:i/>
              </w:rPr>
              <w:t>n</w:t>
            </w:r>
            <w:r w:rsidRPr="00744728">
              <w:t>=</w:t>
            </w:r>
            <w:r>
              <w:t>60</w:t>
            </w:r>
            <w:r w:rsidRPr="00744728">
              <w:t>)</w:t>
            </w:r>
          </w:p>
          <w:p w:rsidR="00883587" w:rsidRPr="00744728" w:rsidRDefault="00883587" w:rsidP="000D75FC">
            <w:pPr>
              <w:pStyle w:val="NoSpacing"/>
              <w:jc w:val="center"/>
            </w:pPr>
            <w:r w:rsidRPr="00DE1B63">
              <w:rPr>
                <w:rFonts w:cs="Times New Roman"/>
                <w:sz w:val="28"/>
                <w:szCs w:val="28"/>
              </w:rPr>
              <w:fldChar w:fldCharType="begin"/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color w:val="000000"/>
                <w:sz w:val="28"/>
                <w:szCs w:val="28"/>
              </w:rPr>
              <w:instrText>EQ \O(x,ˉ)</w:instrText>
            </w:r>
            <w:r w:rsidRPr="00DE1B63">
              <w:rPr>
                <w:rFonts w:cs="Times New Roman"/>
                <w:sz w:val="28"/>
                <w:szCs w:val="28"/>
              </w:rPr>
              <w:instrText xml:space="preserve"> </w:instrText>
            </w:r>
            <w:r w:rsidRPr="00DE1B63">
              <w:rPr>
                <w:rFonts w:cs="Times New Roman"/>
                <w:sz w:val="28"/>
                <w:szCs w:val="28"/>
              </w:rPr>
              <w:fldChar w:fldCharType="end"/>
            </w:r>
            <w:r w:rsidRPr="00744728">
              <w:t>± SE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587" w:rsidRPr="00744728" w:rsidRDefault="00883587" w:rsidP="000D75FC">
            <w:pPr>
              <w:pStyle w:val="NoSpacing"/>
              <w:jc w:val="center"/>
            </w:pPr>
            <w:r w:rsidRPr="00694181">
              <w:rPr>
                <w:i/>
              </w:rPr>
              <w:t>P</w:t>
            </w:r>
            <w:r>
              <w:t>-value</w:t>
            </w:r>
          </w:p>
        </w:tc>
      </w:tr>
      <w:tr w:rsidR="00883587" w:rsidTr="000D75F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883587" w:rsidRPr="00744728" w:rsidRDefault="00883587" w:rsidP="000D75FC">
            <w:pPr>
              <w:pStyle w:val="NoSpacing"/>
            </w:pPr>
            <w:r w:rsidRPr="00744728">
              <w:t>Clutch Number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83587" w:rsidRPr="00744728" w:rsidRDefault="00883587" w:rsidP="000D75FC">
            <w:pPr>
              <w:pStyle w:val="NoSpacing"/>
              <w:jc w:val="center"/>
            </w:pPr>
            <w:r>
              <w:t>5.41</w:t>
            </w:r>
            <w:r w:rsidRPr="00744728">
              <w:t xml:space="preserve"> ± </w:t>
            </w:r>
            <w: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5.</w:t>
            </w:r>
            <w:r>
              <w:t>50</w:t>
            </w:r>
            <w:r w:rsidRPr="00744728">
              <w:t xml:space="preserve"> ±</w:t>
            </w:r>
            <w:r>
              <w:t xml:space="preserve"> 0.12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83587" w:rsidRPr="00744728" w:rsidRDefault="00883587" w:rsidP="000D75FC">
            <w:pPr>
              <w:pStyle w:val="NoSpacing"/>
            </w:pPr>
            <w:r>
              <w:t>0.06</w:t>
            </w:r>
          </w:p>
        </w:tc>
      </w:tr>
      <w:tr w:rsidR="00883587" w:rsidTr="000D75FC">
        <w:trPr>
          <w:jc w:val="center"/>
        </w:trPr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 w:rsidRPr="00744728">
              <w:t>Brood Number</w:t>
            </w:r>
            <w:r>
              <w:t xml:space="preserve"> </w:t>
            </w:r>
            <w:r>
              <w:rPr>
                <w:vertAlign w:val="superscript"/>
              </w:rPr>
              <w:t>a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3.</w:t>
            </w:r>
            <w:r>
              <w:t>98</w:t>
            </w:r>
            <w:r w:rsidRPr="00744728">
              <w:t xml:space="preserve"> ± 0.2</w:t>
            </w:r>
            <w:r>
              <w:t>6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4.</w:t>
            </w:r>
            <w:r>
              <w:t>73</w:t>
            </w:r>
            <w:r w:rsidRPr="00744728">
              <w:t xml:space="preserve"> ± 0.1</w:t>
            </w:r>
            <w:r>
              <w:t>7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>
              <w:t>0.02</w:t>
            </w:r>
          </w:p>
        </w:tc>
      </w:tr>
      <w:tr w:rsidR="00883587" w:rsidTr="000D75FC">
        <w:trPr>
          <w:jc w:val="center"/>
        </w:trPr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 w:rsidRPr="00744728">
              <w:t>Fledge Number</w:t>
            </w:r>
            <w:r w:rsidRPr="008F6AC7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a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>
              <w:t>2</w:t>
            </w:r>
            <w:r w:rsidRPr="00744728">
              <w:t>.3</w:t>
            </w:r>
            <w:r>
              <w:t>0</w:t>
            </w:r>
            <w:r w:rsidRPr="00744728">
              <w:t xml:space="preserve"> ± 0.27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3.</w:t>
            </w:r>
            <w:r>
              <w:t>38</w:t>
            </w:r>
            <w:r w:rsidRPr="00744728">
              <w:t xml:space="preserve"> ± 0.</w:t>
            </w:r>
            <w:r>
              <w:t>26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>
              <w:t>0.005</w:t>
            </w:r>
          </w:p>
        </w:tc>
      </w:tr>
      <w:tr w:rsidR="00883587" w:rsidTr="000D75FC">
        <w:trPr>
          <w:jc w:val="center"/>
        </w:trPr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 w:rsidRPr="00744728">
              <w:t>Non-viable eggs</w:t>
            </w:r>
            <w:r>
              <w:t xml:space="preserve"> (%) </w:t>
            </w:r>
            <w:r>
              <w:rPr>
                <w:vertAlign w:val="superscript"/>
              </w:rPr>
              <w:t>a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0.</w:t>
            </w:r>
            <w:r>
              <w:t>20</w:t>
            </w:r>
            <w:r w:rsidRPr="00744728">
              <w:t xml:space="preserve"> ± 0.0</w:t>
            </w:r>
            <w:r>
              <w:t>4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0.1</w:t>
            </w:r>
            <w:r>
              <w:t>2</w:t>
            </w:r>
            <w:r w:rsidRPr="00744728">
              <w:t xml:space="preserve"> ± 0.02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>
              <w:t>0.12</w:t>
            </w:r>
          </w:p>
        </w:tc>
      </w:tr>
      <w:tr w:rsidR="00883587" w:rsidTr="000D75FC">
        <w:trPr>
          <w:jc w:val="center"/>
        </w:trPr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 w:rsidRPr="00744728">
              <w:t>Mortality</w:t>
            </w:r>
            <w:r>
              <w:t xml:space="preserve"> (%)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0.</w:t>
            </w:r>
            <w:r>
              <w:t>27</w:t>
            </w:r>
            <w:r w:rsidRPr="00744728">
              <w:t xml:space="preserve"> ± 0.</w:t>
            </w:r>
            <w:r>
              <w:t>05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 w:rsidRPr="00744728">
              <w:t>0.</w:t>
            </w:r>
            <w:r>
              <w:t>24</w:t>
            </w:r>
            <w:r w:rsidRPr="00744728">
              <w:t xml:space="preserve"> ± 0.0</w:t>
            </w:r>
            <w:r>
              <w:t>5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>
              <w:t>0.7</w:t>
            </w:r>
          </w:p>
        </w:tc>
      </w:tr>
      <w:tr w:rsidR="00883587" w:rsidTr="000D75FC">
        <w:trPr>
          <w:jc w:val="center"/>
        </w:trPr>
        <w:tc>
          <w:tcPr>
            <w:tcW w:w="0" w:type="auto"/>
          </w:tcPr>
          <w:p w:rsidR="00883587" w:rsidRPr="00744728" w:rsidRDefault="00883587" w:rsidP="000D75FC">
            <w:pPr>
              <w:pStyle w:val="NoSpacing"/>
            </w:pPr>
            <w:r>
              <w:lastRenderedPageBreak/>
              <w:t xml:space="preserve">Hatching Asynchrony (%) </w:t>
            </w:r>
            <w:r>
              <w:rPr>
                <w:vertAlign w:val="superscript"/>
              </w:rPr>
              <w:t>a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>
              <w:t xml:space="preserve">0.61 </w:t>
            </w:r>
            <w:r w:rsidRPr="00744728">
              <w:t xml:space="preserve">± </w:t>
            </w:r>
            <w:r>
              <w:t xml:space="preserve">0.02 </w:t>
            </w:r>
            <w:r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:rsidR="00883587" w:rsidRPr="00744728" w:rsidRDefault="00883587" w:rsidP="000D75FC">
            <w:pPr>
              <w:pStyle w:val="NoSpacing"/>
              <w:jc w:val="center"/>
            </w:pPr>
            <w:r>
              <w:t xml:space="preserve">0.70 </w:t>
            </w:r>
            <w:r w:rsidRPr="00744728">
              <w:t xml:space="preserve">± </w:t>
            </w:r>
            <w:r>
              <w:t xml:space="preserve">0.02 </w:t>
            </w:r>
            <w:r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:rsidR="00883587" w:rsidRDefault="00883587" w:rsidP="000D75FC">
            <w:pPr>
              <w:pStyle w:val="NoSpacing"/>
            </w:pPr>
            <w:r>
              <w:t>0.001</w:t>
            </w:r>
          </w:p>
        </w:tc>
      </w:tr>
    </w:tbl>
    <w:p w:rsidR="00883587" w:rsidRDefault="00883587" w:rsidP="00883587">
      <w:pPr>
        <w:pStyle w:val="NoSpacing"/>
      </w:pPr>
      <w:proofErr w:type="spellStart"/>
      <w:r w:rsidRPr="008F6AC7">
        <w:rPr>
          <w:vertAlign w:val="superscript"/>
        </w:rPr>
        <w:t>a</w:t>
      </w:r>
      <w:proofErr w:type="spellEnd"/>
      <w:r w:rsidRPr="008F6AC7">
        <w:t xml:space="preserve"> </w:t>
      </w:r>
      <w:r>
        <w:t xml:space="preserve">Indicates variable means are significantly different between years at the </w:t>
      </w:r>
      <w:r>
        <w:rPr>
          <w:rFonts w:cs="Times New Roman"/>
        </w:rPr>
        <w:t>α</w:t>
      </w:r>
      <w:r>
        <w:t xml:space="preserve"> = 0.1 level.</w:t>
      </w:r>
    </w:p>
    <w:p w:rsidR="00883587" w:rsidRDefault="00883587" w:rsidP="00883587">
      <w:pPr>
        <w:pStyle w:val="NoSpacing"/>
      </w:pPr>
      <w:r>
        <w:rPr>
          <w:vertAlign w:val="superscript"/>
        </w:rPr>
        <w:t xml:space="preserve">b </w:t>
      </w:r>
      <w:r>
        <w:t>Sample size is 36 for high and 54 for low ventenata sites.</w:t>
      </w:r>
    </w:p>
    <w:p w:rsidR="000F2CBD" w:rsidRPr="00653ECB" w:rsidRDefault="000F2CBD"/>
    <w:sectPr w:rsidR="000F2CBD" w:rsidRPr="0065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5"/>
    <w:rsid w:val="000B4B2A"/>
    <w:rsid w:val="000F2CBD"/>
    <w:rsid w:val="002926A1"/>
    <w:rsid w:val="00294BE6"/>
    <w:rsid w:val="003740E7"/>
    <w:rsid w:val="00653ECB"/>
    <w:rsid w:val="007F39A2"/>
    <w:rsid w:val="008069CA"/>
    <w:rsid w:val="00883587"/>
    <w:rsid w:val="00E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E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CBD"/>
    <w:pPr>
      <w:spacing w:after="0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E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CBD"/>
    <w:pPr>
      <w:spacing w:after="0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Mackey</dc:creator>
  <cp:lastModifiedBy>Timothy Prather</cp:lastModifiedBy>
  <cp:revision>2</cp:revision>
  <dcterms:created xsi:type="dcterms:W3CDTF">2014-01-28T21:48:00Z</dcterms:created>
  <dcterms:modified xsi:type="dcterms:W3CDTF">2014-01-28T21:48:00Z</dcterms:modified>
</cp:coreProperties>
</file>