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21" w:rsidRDefault="00DF4B79">
      <w:r>
        <w:t>Figure 1:  Surface runoff from 2007-2013</w:t>
      </w:r>
    </w:p>
    <w:p w:rsidR="00DF4B79" w:rsidRDefault="00DF4B79"/>
    <w:p w:rsidR="00DF4B79" w:rsidRDefault="00DF4B79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126D11" wp14:editId="3AEECAA4">
            <wp:extent cx="5498592" cy="4133088"/>
            <wp:effectExtent l="19050" t="0" r="6858" b="0"/>
            <wp:docPr id="4" name="Picture 3" descr="Cumulative surface runoff COLOR (cm) (2007-2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ulative surface runoff COLOR (cm) (2007-2013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8592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79"/>
    <w:rsid w:val="00DF4B79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57CB-D1BB-4CB5-908C-D8FB05E2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</dc:creator>
  <cp:keywords/>
  <dc:description/>
  <cp:lastModifiedBy>Cannon</cp:lastModifiedBy>
  <cp:revision>1</cp:revision>
  <dcterms:created xsi:type="dcterms:W3CDTF">2014-02-21T21:25:00Z</dcterms:created>
  <dcterms:modified xsi:type="dcterms:W3CDTF">2014-02-21T21:26:00Z</dcterms:modified>
</cp:coreProperties>
</file>