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0D" w:rsidRPr="00B9160D" w:rsidRDefault="00B9160D" w:rsidP="00B9160D">
      <w:pPr>
        <w:widowControl w:val="0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B9160D">
        <w:rPr>
          <w:rFonts w:ascii="Arial" w:hAnsi="Arial" w:cs="Arial"/>
          <w:noProof/>
        </w:rPr>
        <w:drawing>
          <wp:inline distT="0" distB="0" distL="0" distR="0">
            <wp:extent cx="5939155" cy="20548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0D" w:rsidRPr="00B9160D" w:rsidRDefault="00B9160D" w:rsidP="00B9160D">
      <w:pPr>
        <w:widowControl w:val="0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ind w:left="187" w:hanging="187"/>
        <w:rPr>
          <w:rFonts w:ascii="Arial" w:hAnsi="Arial" w:cs="Arial"/>
        </w:rPr>
      </w:pPr>
      <w:r w:rsidRPr="00B9160D">
        <w:rPr>
          <w:rFonts w:ascii="Arial" w:hAnsi="Arial" w:cs="Arial"/>
        </w:rPr>
        <w:t>Fig. 3. Effects of residue baling and grazing on soil water loss (A), water-stable aggregates (B), and wind erodible fraction (C) for the site at Brule. Error bars indicate the standard deviation of the means.</w:t>
      </w:r>
    </w:p>
    <w:p w:rsidR="007C1525" w:rsidRDefault="007C1525">
      <w:bookmarkStart w:id="0" w:name="_GoBack"/>
      <w:bookmarkEnd w:id="0"/>
    </w:p>
    <w:sectPr w:rsidR="007C1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0D"/>
    <w:rsid w:val="007C1525"/>
    <w:rsid w:val="00B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96068-D703-487C-81E0-171530AC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Blanco Canqui</dc:creator>
  <cp:keywords/>
  <dc:description/>
  <cp:lastModifiedBy>Humberto Blanco Canqui</cp:lastModifiedBy>
  <cp:revision>1</cp:revision>
  <dcterms:created xsi:type="dcterms:W3CDTF">2014-03-01T19:48:00Z</dcterms:created>
  <dcterms:modified xsi:type="dcterms:W3CDTF">2014-03-01T19:52:00Z</dcterms:modified>
</cp:coreProperties>
</file>