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13" w:rsidRPr="00651F1D" w:rsidRDefault="000E0B13" w:rsidP="000E0B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472476" cy="3034910"/>
            <wp:effectExtent l="0" t="0" r="0" b="0"/>
            <wp:docPr id="10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Pr="00651F1D">
        <w:rPr>
          <w:rFonts w:ascii="Times New Roman" w:hAnsi="Times New Roman"/>
          <w:noProof/>
          <w:sz w:val="24"/>
          <w:szCs w:val="24"/>
          <w:lang w:eastAsia="zh-CN"/>
        </w:rPr>
        <w:t xml:space="preserve"> </w:t>
      </w:r>
    </w:p>
    <w:p w:rsidR="000E0B13" w:rsidRPr="00651F1D" w:rsidRDefault="000E0B13" w:rsidP="000E0B13">
      <w:pPr>
        <w:rPr>
          <w:rFonts w:ascii="Times New Roman" w:hAnsi="Times New Roman"/>
          <w:sz w:val="24"/>
          <w:szCs w:val="24"/>
        </w:rPr>
      </w:pPr>
      <w:r w:rsidRPr="00651F1D">
        <w:rPr>
          <w:rFonts w:ascii="Times New Roman" w:hAnsi="Times New Roman"/>
          <w:sz w:val="24"/>
          <w:szCs w:val="24"/>
        </w:rPr>
        <w:t>Fig.</w:t>
      </w:r>
      <w:r>
        <w:rPr>
          <w:rFonts w:ascii="Times New Roman" w:hAnsi="Times New Roman"/>
          <w:sz w:val="24"/>
          <w:szCs w:val="24"/>
        </w:rPr>
        <w:t>4</w:t>
      </w:r>
      <w:r w:rsidRPr="00651F1D">
        <w:rPr>
          <w:rFonts w:ascii="Times New Roman" w:hAnsi="Times New Roman"/>
          <w:sz w:val="24"/>
          <w:szCs w:val="24"/>
        </w:rPr>
        <w:t xml:space="preserve">. Effects of cover crops on the severity of narrow brown leaf spot (NBLS) and brown spot on </w:t>
      </w:r>
      <w:proofErr w:type="spellStart"/>
      <w:r w:rsidRPr="00651F1D">
        <w:rPr>
          <w:rFonts w:ascii="Times New Roman" w:hAnsi="Times New Roman"/>
          <w:sz w:val="24"/>
          <w:szCs w:val="24"/>
        </w:rPr>
        <w:t>Tesanai</w:t>
      </w:r>
      <w:proofErr w:type="spellEnd"/>
      <w:r w:rsidRPr="00651F1D">
        <w:rPr>
          <w:rFonts w:ascii="Times New Roman" w:hAnsi="Times New Roman"/>
          <w:sz w:val="24"/>
          <w:szCs w:val="24"/>
        </w:rPr>
        <w:t xml:space="preserve"> in 2013. No differences among all cover crop treatments were observed according to the LSD test at </w:t>
      </w:r>
      <w:r w:rsidRPr="00651F1D">
        <w:rPr>
          <w:rFonts w:ascii="Times New Roman" w:hAnsi="Times New Roman"/>
          <w:i/>
          <w:sz w:val="24"/>
          <w:szCs w:val="24"/>
        </w:rPr>
        <w:t>P</w:t>
      </w:r>
      <w:r w:rsidRPr="00651F1D">
        <w:rPr>
          <w:rFonts w:ascii="Times New Roman" w:hAnsi="Times New Roman"/>
          <w:sz w:val="24"/>
          <w:szCs w:val="24"/>
        </w:rPr>
        <w:t xml:space="preserve"> =0.05.  </w:t>
      </w:r>
    </w:p>
    <w:p w:rsidR="00BE33B4" w:rsidRDefault="00BE33B4"/>
    <w:sectPr w:rsidR="00BE33B4" w:rsidSect="00BE3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C50213"/>
    <w:rsid w:val="000E0B13"/>
    <w:rsid w:val="0043192C"/>
    <w:rsid w:val="00791FA0"/>
    <w:rsid w:val="00891029"/>
    <w:rsid w:val="00BE33B4"/>
    <w:rsid w:val="00C50213"/>
    <w:rsid w:val="00E74FEA"/>
    <w:rsid w:val="00FF1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2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haneZhou\My%20Documents\Plant%20Pathology%20Program\Research\2013\Beaumont\Organic%20Rice\Main%20Dis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358232110521069"/>
          <c:y val="5.0975756129657296E-2"/>
          <c:w val="0.80074162241348101"/>
          <c:h val="0.69991178788601838"/>
        </c:manualLayout>
      </c:layout>
      <c:barChart>
        <c:barDir val="col"/>
        <c:grouping val="clustered"/>
        <c:ser>
          <c:idx val="0"/>
          <c:order val="0"/>
          <c:tx>
            <c:strRef>
              <c:f>'Tesanai Cover'!$B$2</c:f>
              <c:strCache>
                <c:ptCount val="1"/>
                <c:pt idx="0">
                  <c:v>NBLS</c:v>
                </c:pt>
              </c:strCache>
            </c:strRef>
          </c:tx>
          <c:cat>
            <c:strRef>
              <c:f>'Tesanai Cover'!$A$3:$A$5</c:f>
              <c:strCache>
                <c:ptCount val="3"/>
                <c:pt idx="0">
                  <c:v>Fallow</c:v>
                </c:pt>
                <c:pt idx="1">
                  <c:v>Ryegrass</c:v>
                </c:pt>
                <c:pt idx="2">
                  <c:v>Clover</c:v>
                </c:pt>
              </c:strCache>
            </c:strRef>
          </c:cat>
          <c:val>
            <c:numRef>
              <c:f>'Tesanai Cover'!$B$3:$B$5</c:f>
              <c:numCache>
                <c:formatCode>General</c:formatCode>
                <c:ptCount val="3"/>
                <c:pt idx="0">
                  <c:v>0.30000000000000032</c:v>
                </c:pt>
                <c:pt idx="1">
                  <c:v>0</c:v>
                </c:pt>
                <c:pt idx="2">
                  <c:v>0.1</c:v>
                </c:pt>
              </c:numCache>
            </c:numRef>
          </c:val>
        </c:ser>
        <c:ser>
          <c:idx val="1"/>
          <c:order val="1"/>
          <c:tx>
            <c:strRef>
              <c:f>'Tesanai Cover'!$C$2</c:f>
              <c:strCache>
                <c:ptCount val="1"/>
                <c:pt idx="0">
                  <c:v>Brown spot</c:v>
                </c:pt>
              </c:strCache>
            </c:strRef>
          </c:tx>
          <c:cat>
            <c:strRef>
              <c:f>'Tesanai Cover'!$A$3:$A$5</c:f>
              <c:strCache>
                <c:ptCount val="3"/>
                <c:pt idx="0">
                  <c:v>Fallow</c:v>
                </c:pt>
                <c:pt idx="1">
                  <c:v>Ryegrass</c:v>
                </c:pt>
                <c:pt idx="2">
                  <c:v>Clover</c:v>
                </c:pt>
              </c:strCache>
            </c:strRef>
          </c:cat>
          <c:val>
            <c:numRef>
              <c:f>'Tesanai Cover'!$C$3:$C$5</c:f>
              <c:numCache>
                <c:formatCode>General</c:formatCode>
                <c:ptCount val="3"/>
                <c:pt idx="0">
                  <c:v>0.2</c:v>
                </c:pt>
                <c:pt idx="1">
                  <c:v>0.1</c:v>
                </c:pt>
                <c:pt idx="2">
                  <c:v>0.30000000000000032</c:v>
                </c:pt>
              </c:numCache>
            </c:numRef>
          </c:val>
        </c:ser>
        <c:gapWidth val="300"/>
        <c:axId val="149629568"/>
        <c:axId val="150017152"/>
      </c:barChart>
      <c:catAx>
        <c:axId val="1496295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Cover Crop</a:t>
                </a:r>
              </a:p>
            </c:rich>
          </c:tx>
          <c:layout>
            <c:manualLayout>
              <c:xMode val="edge"/>
              <c:yMode val="edge"/>
              <c:x val="0.45247309202628744"/>
              <c:y val="0.88886575128522149"/>
            </c:manualLayout>
          </c:layout>
        </c:title>
        <c:majorTickMark val="none"/>
        <c:tickLblPos val="nextTo"/>
        <c:crossAx val="150017152"/>
        <c:crosses val="autoZero"/>
        <c:auto val="1"/>
        <c:lblAlgn val="ctr"/>
        <c:lblOffset val="100"/>
      </c:catAx>
      <c:valAx>
        <c:axId val="150017152"/>
        <c:scaling>
          <c:orientation val="minMax"/>
          <c:max val="9"/>
          <c:min val="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Severity (0-9)</a:t>
                </a:r>
              </a:p>
            </c:rich>
          </c:tx>
          <c:layout>
            <c:manualLayout>
              <c:xMode val="edge"/>
              <c:yMode val="edge"/>
              <c:x val="2.8785261945883712E-3"/>
              <c:y val="0.27117174420049861"/>
            </c:manualLayout>
          </c:layout>
        </c:title>
        <c:numFmt formatCode="General" sourceLinked="1"/>
        <c:majorTickMark val="in"/>
        <c:tickLblPos val="nextTo"/>
        <c:crossAx val="149629568"/>
        <c:crosses val="autoZero"/>
        <c:crossBetween val="between"/>
        <c:majorUnit val="3"/>
      </c:valAx>
      <c:spPr>
        <a:ln>
          <a:solidFill>
            <a:sysClr val="windowText" lastClr="000000"/>
          </a:solidFill>
        </a:ln>
      </c:spPr>
    </c:plotArea>
    <c:legend>
      <c:legendPos val="r"/>
      <c:layout>
        <c:manualLayout>
          <c:xMode val="edge"/>
          <c:yMode val="edge"/>
          <c:x val="0.3350737978239543"/>
          <c:y val="0.11846742297708659"/>
          <c:w val="0.53285587019675273"/>
          <c:h val="0.12119567546852059"/>
        </c:manualLayout>
      </c:layout>
    </c:legend>
    <c:plotVisOnly val="1"/>
  </c:chart>
  <c:spPr>
    <a:ln>
      <a:noFill/>
    </a:ln>
  </c:spPr>
  <c:txPr>
    <a:bodyPr/>
    <a:lstStyle/>
    <a:p>
      <a:pPr>
        <a:defRPr sz="800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Microsoft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Fugen Dou</dc:creator>
  <cp:lastModifiedBy>Fugen Dou</cp:lastModifiedBy>
  <cp:revision>3</cp:revision>
  <dcterms:created xsi:type="dcterms:W3CDTF">2014-04-01T14:42:00Z</dcterms:created>
  <dcterms:modified xsi:type="dcterms:W3CDTF">2014-04-01T14:42:00Z</dcterms:modified>
</cp:coreProperties>
</file>