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7F" w:rsidRPr="00160EC5" w:rsidRDefault="00321C08" w:rsidP="00321C08">
      <w:pPr>
        <w:pStyle w:val="NoSpacing"/>
        <w:rPr>
          <w:b/>
        </w:rPr>
      </w:pPr>
      <w:r>
        <w:rPr>
          <w:noProof/>
        </w:rPr>
        <w:drawing>
          <wp:anchor distT="0" distB="0" distL="114300" distR="114300" simplePos="0" relativeHeight="251658240" behindDoc="0" locked="0" layoutInCell="1" allowOverlap="1" wp14:anchorId="089922C9" wp14:editId="75D83A47">
            <wp:simplePos x="0" y="0"/>
            <wp:positionH relativeFrom="column">
              <wp:posOffset>4876800</wp:posOffset>
            </wp:positionH>
            <wp:positionV relativeFrom="paragraph">
              <wp:posOffset>-93345</wp:posOffset>
            </wp:positionV>
            <wp:extent cx="93599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E_NorthCentral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990" cy="847725"/>
                    </a:xfrm>
                    <a:prstGeom prst="rect">
                      <a:avLst/>
                    </a:prstGeom>
                  </pic:spPr>
                </pic:pic>
              </a:graphicData>
            </a:graphic>
            <wp14:sizeRelH relativeFrom="margin">
              <wp14:pctWidth>0</wp14:pctWidth>
            </wp14:sizeRelH>
            <wp14:sizeRelV relativeFrom="margin">
              <wp14:pctHeight>0</wp14:pctHeight>
            </wp14:sizeRelV>
          </wp:anchor>
        </w:drawing>
      </w:r>
      <w:r w:rsidR="00160EC5" w:rsidRPr="00160EC5">
        <w:rPr>
          <w:b/>
        </w:rPr>
        <w:t>Using a Grazing Wedge in Beef Cattle Operations</w:t>
      </w:r>
    </w:p>
    <w:p w:rsidR="00160EC5" w:rsidRDefault="00160EC5" w:rsidP="00321C08">
      <w:pPr>
        <w:pStyle w:val="NoSpacing"/>
      </w:pPr>
    </w:p>
    <w:p w:rsidR="00160EC5" w:rsidRDefault="00160EC5" w:rsidP="00321C08">
      <w:pPr>
        <w:pStyle w:val="NoSpacing"/>
      </w:pPr>
      <w:r>
        <w:t>Justin Sexten</w:t>
      </w:r>
      <w:bookmarkStart w:id="0" w:name="_GoBack"/>
      <w:bookmarkEnd w:id="0"/>
    </w:p>
    <w:p w:rsidR="00160EC5" w:rsidRDefault="00160EC5" w:rsidP="00321C08">
      <w:pPr>
        <w:pStyle w:val="NoSpacing"/>
      </w:pPr>
      <w:r>
        <w:t>State Extension Specialist – Beef Nutrition</w:t>
      </w:r>
    </w:p>
    <w:p w:rsidR="00160EC5" w:rsidRDefault="00160EC5" w:rsidP="00160EC5">
      <w:pPr>
        <w:pStyle w:val="NoSpacing"/>
      </w:pPr>
    </w:p>
    <w:p w:rsidR="000A1F7E" w:rsidRDefault="000A1F7E" w:rsidP="000A1F7E">
      <w:pPr>
        <w:pStyle w:val="NoSpacing"/>
      </w:pPr>
      <w:r w:rsidRPr="00555FF2">
        <w:t xml:space="preserve">The need for efficient resource utilization </w:t>
      </w:r>
      <w:r>
        <w:t xml:space="preserve">and synchronized animal / forage production systems </w:t>
      </w:r>
      <w:r w:rsidRPr="00555FF2">
        <w:t xml:space="preserve">continues to grow as production input prices increase.  Key input costs for beef producers have increased at a significantly greater rate than the value of weaned calves.  The difference in price increases for input costs and market value of weaned calves is shown in </w:t>
      </w:r>
      <w:r>
        <w:t>exhibit 1</w:t>
      </w:r>
      <w:r w:rsidRPr="00555FF2">
        <w:t xml:space="preserve">.  Relative </w:t>
      </w:r>
      <w:r>
        <w:t>input price inflation is</w:t>
      </w:r>
      <w:r w:rsidRPr="00555FF2">
        <w:t xml:space="preserve"> significantly greater than increased weaned calf value</w:t>
      </w:r>
      <w:r>
        <w:t>.</w:t>
      </w:r>
    </w:p>
    <w:tbl>
      <w:tblPr>
        <w:tblW w:w="8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1593"/>
        <w:gridCol w:w="1594"/>
        <w:gridCol w:w="1594"/>
      </w:tblGrid>
      <w:tr w:rsidR="000A1F7E" w:rsidRPr="00555FF2" w:rsidTr="00E631FE">
        <w:tc>
          <w:tcPr>
            <w:tcW w:w="8579" w:type="dxa"/>
            <w:gridSpan w:val="4"/>
            <w:tcBorders>
              <w:top w:val="nil"/>
              <w:left w:val="nil"/>
              <w:bottom w:val="single" w:sz="4" w:space="0" w:color="auto"/>
              <w:right w:val="nil"/>
            </w:tcBorders>
          </w:tcPr>
          <w:p w:rsidR="000A1F7E" w:rsidRDefault="000A1F7E" w:rsidP="00E631FE">
            <w:pPr>
              <w:pStyle w:val="NoSpacing"/>
            </w:pPr>
            <w:r>
              <w:br w:type="page"/>
            </w:r>
          </w:p>
          <w:p w:rsidR="000A1F7E" w:rsidRPr="00555FF2" w:rsidRDefault="000A1F7E" w:rsidP="00E631FE">
            <w:pPr>
              <w:pStyle w:val="NoSpacing"/>
            </w:pPr>
            <w:r>
              <w:t>Exhibit 1</w:t>
            </w:r>
            <w:r w:rsidRPr="00555FF2">
              <w:t xml:space="preserve">. </w:t>
            </w:r>
            <w:r>
              <w:t>Beef operation i</w:t>
            </w:r>
            <w:r w:rsidRPr="00555FF2">
              <w:t xml:space="preserve">nput </w:t>
            </w:r>
            <w:r>
              <w:t>and weaned-calf prices</w:t>
            </w:r>
          </w:p>
        </w:tc>
      </w:tr>
      <w:tr w:rsidR="000A1F7E" w:rsidRPr="00555FF2" w:rsidTr="00E631FE">
        <w:tc>
          <w:tcPr>
            <w:tcW w:w="3798" w:type="dxa"/>
            <w:tcBorders>
              <w:top w:val="single" w:sz="4" w:space="0" w:color="auto"/>
              <w:left w:val="nil"/>
              <w:bottom w:val="single" w:sz="4" w:space="0" w:color="auto"/>
              <w:right w:val="nil"/>
            </w:tcBorders>
          </w:tcPr>
          <w:p w:rsidR="000A1F7E" w:rsidRPr="00555FF2" w:rsidRDefault="000A1F7E" w:rsidP="00E631FE">
            <w:pPr>
              <w:pStyle w:val="NoSpacing"/>
            </w:pPr>
            <w:r w:rsidRPr="00555FF2">
              <w:t>Item</w:t>
            </w:r>
          </w:p>
        </w:tc>
        <w:tc>
          <w:tcPr>
            <w:tcW w:w="1593" w:type="dxa"/>
            <w:tcBorders>
              <w:top w:val="single" w:sz="4" w:space="0" w:color="auto"/>
              <w:left w:val="nil"/>
              <w:bottom w:val="single" w:sz="4" w:space="0" w:color="auto"/>
              <w:right w:val="nil"/>
            </w:tcBorders>
          </w:tcPr>
          <w:p w:rsidR="000A1F7E" w:rsidRPr="00555FF2" w:rsidRDefault="000A1F7E" w:rsidP="00E631FE">
            <w:pPr>
              <w:pStyle w:val="NoSpacing"/>
              <w:jc w:val="center"/>
            </w:pPr>
            <w:r w:rsidRPr="00555FF2">
              <w:t>2002</w:t>
            </w:r>
          </w:p>
        </w:tc>
        <w:tc>
          <w:tcPr>
            <w:tcW w:w="1594" w:type="dxa"/>
            <w:tcBorders>
              <w:top w:val="single" w:sz="4" w:space="0" w:color="auto"/>
              <w:left w:val="nil"/>
              <w:bottom w:val="single" w:sz="4" w:space="0" w:color="auto"/>
              <w:right w:val="nil"/>
            </w:tcBorders>
          </w:tcPr>
          <w:p w:rsidR="000A1F7E" w:rsidRPr="00555FF2" w:rsidRDefault="005C09AC" w:rsidP="00E631FE">
            <w:pPr>
              <w:pStyle w:val="NoSpacing"/>
              <w:jc w:val="center"/>
            </w:pPr>
            <w:r>
              <w:t>2010</w:t>
            </w:r>
          </w:p>
        </w:tc>
        <w:tc>
          <w:tcPr>
            <w:tcW w:w="1594" w:type="dxa"/>
            <w:tcBorders>
              <w:top w:val="single" w:sz="4" w:space="0" w:color="auto"/>
              <w:left w:val="nil"/>
              <w:bottom w:val="single" w:sz="4" w:space="0" w:color="auto"/>
              <w:right w:val="nil"/>
            </w:tcBorders>
          </w:tcPr>
          <w:p w:rsidR="000A1F7E" w:rsidRPr="00555FF2" w:rsidRDefault="000A1F7E" w:rsidP="00E631FE">
            <w:pPr>
              <w:pStyle w:val="NoSpacing"/>
              <w:jc w:val="center"/>
            </w:pPr>
            <w:r w:rsidRPr="00555FF2">
              <w:t>% increase</w:t>
            </w:r>
          </w:p>
        </w:tc>
      </w:tr>
      <w:tr w:rsidR="000A1F7E" w:rsidRPr="00555FF2" w:rsidTr="00E631FE">
        <w:tc>
          <w:tcPr>
            <w:tcW w:w="3798" w:type="dxa"/>
            <w:tcBorders>
              <w:top w:val="single" w:sz="4" w:space="0" w:color="auto"/>
              <w:left w:val="nil"/>
              <w:bottom w:val="nil"/>
              <w:right w:val="nil"/>
            </w:tcBorders>
          </w:tcPr>
          <w:p w:rsidR="000A1F7E" w:rsidRPr="00555FF2" w:rsidRDefault="000A1F7E" w:rsidP="00E631FE">
            <w:pPr>
              <w:pStyle w:val="NoSpacing"/>
            </w:pPr>
            <w:r w:rsidRPr="00555FF2">
              <w:t>Fertilizer</w:t>
            </w:r>
          </w:p>
        </w:tc>
        <w:tc>
          <w:tcPr>
            <w:tcW w:w="1593" w:type="dxa"/>
            <w:tcBorders>
              <w:top w:val="single" w:sz="4" w:space="0" w:color="auto"/>
              <w:left w:val="nil"/>
              <w:bottom w:val="nil"/>
              <w:right w:val="nil"/>
            </w:tcBorders>
          </w:tcPr>
          <w:p w:rsidR="000A1F7E" w:rsidRPr="00555FF2" w:rsidRDefault="000A1F7E" w:rsidP="00E631FE">
            <w:pPr>
              <w:pStyle w:val="NoSpacing"/>
            </w:pPr>
          </w:p>
        </w:tc>
        <w:tc>
          <w:tcPr>
            <w:tcW w:w="1594" w:type="dxa"/>
            <w:tcBorders>
              <w:top w:val="single" w:sz="4" w:space="0" w:color="auto"/>
              <w:left w:val="nil"/>
              <w:bottom w:val="nil"/>
              <w:right w:val="nil"/>
            </w:tcBorders>
          </w:tcPr>
          <w:p w:rsidR="000A1F7E" w:rsidRPr="00555FF2" w:rsidRDefault="000A1F7E" w:rsidP="00E631FE">
            <w:pPr>
              <w:pStyle w:val="NoSpacing"/>
            </w:pPr>
          </w:p>
        </w:tc>
        <w:tc>
          <w:tcPr>
            <w:tcW w:w="1594" w:type="dxa"/>
            <w:tcBorders>
              <w:top w:val="single" w:sz="4" w:space="0" w:color="auto"/>
              <w:left w:val="nil"/>
              <w:bottom w:val="nil"/>
              <w:right w:val="nil"/>
            </w:tcBorders>
          </w:tcPr>
          <w:p w:rsidR="000A1F7E" w:rsidRPr="00555FF2" w:rsidRDefault="000A1F7E" w:rsidP="00E631FE">
            <w:pPr>
              <w:pStyle w:val="NoSpacing"/>
            </w:pP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Nitrogen, $ / ton Urea</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191</w:t>
            </w:r>
          </w:p>
        </w:tc>
        <w:tc>
          <w:tcPr>
            <w:tcW w:w="1594" w:type="dxa"/>
            <w:tcBorders>
              <w:top w:val="nil"/>
              <w:left w:val="nil"/>
              <w:bottom w:val="nil"/>
              <w:right w:val="nil"/>
            </w:tcBorders>
          </w:tcPr>
          <w:p w:rsidR="000A1F7E" w:rsidRPr="00555FF2" w:rsidRDefault="005C09AC" w:rsidP="00E631FE">
            <w:pPr>
              <w:pStyle w:val="NoSpacing"/>
              <w:tabs>
                <w:tab w:val="decimal" w:pos="794"/>
              </w:tabs>
            </w:pPr>
            <w:r>
              <w:t>448</w:t>
            </w:r>
          </w:p>
        </w:tc>
        <w:tc>
          <w:tcPr>
            <w:tcW w:w="1594" w:type="dxa"/>
            <w:tcBorders>
              <w:top w:val="nil"/>
              <w:left w:val="nil"/>
              <w:bottom w:val="nil"/>
              <w:right w:val="nil"/>
            </w:tcBorders>
          </w:tcPr>
          <w:p w:rsidR="000A1F7E" w:rsidRPr="00555FF2" w:rsidRDefault="005C09AC" w:rsidP="00E631FE">
            <w:pPr>
              <w:pStyle w:val="NoSpacing"/>
              <w:tabs>
                <w:tab w:val="decimal" w:pos="935"/>
              </w:tabs>
            </w:pPr>
            <w:r>
              <w:t>134.6</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Phosphorus, $ / ton DAP</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227</w:t>
            </w:r>
          </w:p>
        </w:tc>
        <w:tc>
          <w:tcPr>
            <w:tcW w:w="1594" w:type="dxa"/>
            <w:tcBorders>
              <w:top w:val="nil"/>
              <w:left w:val="nil"/>
              <w:bottom w:val="nil"/>
              <w:right w:val="nil"/>
            </w:tcBorders>
          </w:tcPr>
          <w:p w:rsidR="000A1F7E" w:rsidRPr="00555FF2" w:rsidRDefault="005C09AC" w:rsidP="00E631FE">
            <w:pPr>
              <w:pStyle w:val="NoSpacing"/>
              <w:tabs>
                <w:tab w:val="decimal" w:pos="794"/>
              </w:tabs>
            </w:pPr>
            <w:r>
              <w:t>508</w:t>
            </w:r>
          </w:p>
        </w:tc>
        <w:tc>
          <w:tcPr>
            <w:tcW w:w="1594" w:type="dxa"/>
            <w:tcBorders>
              <w:top w:val="nil"/>
              <w:left w:val="nil"/>
              <w:bottom w:val="nil"/>
              <w:right w:val="nil"/>
            </w:tcBorders>
          </w:tcPr>
          <w:p w:rsidR="000A1F7E" w:rsidRPr="00555FF2" w:rsidRDefault="005C09AC" w:rsidP="00E631FE">
            <w:pPr>
              <w:pStyle w:val="NoSpacing"/>
              <w:tabs>
                <w:tab w:val="decimal" w:pos="935"/>
              </w:tabs>
            </w:pPr>
            <w:r>
              <w:t>123.8</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 xml:space="preserve">Potash, $ / ton </w:t>
            </w:r>
            <w:proofErr w:type="spellStart"/>
            <w:r w:rsidRPr="00555FF2">
              <w:t>KCl</w:t>
            </w:r>
            <w:proofErr w:type="spellEnd"/>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164</w:t>
            </w:r>
          </w:p>
        </w:tc>
        <w:tc>
          <w:tcPr>
            <w:tcW w:w="1594" w:type="dxa"/>
            <w:tcBorders>
              <w:top w:val="nil"/>
              <w:left w:val="nil"/>
              <w:bottom w:val="nil"/>
              <w:right w:val="nil"/>
            </w:tcBorders>
          </w:tcPr>
          <w:p w:rsidR="000A1F7E" w:rsidRPr="00555FF2" w:rsidRDefault="005C09AC" w:rsidP="00E631FE">
            <w:pPr>
              <w:pStyle w:val="NoSpacing"/>
              <w:tabs>
                <w:tab w:val="decimal" w:pos="794"/>
              </w:tabs>
            </w:pPr>
            <w:r>
              <w:t>511</w:t>
            </w:r>
          </w:p>
        </w:tc>
        <w:tc>
          <w:tcPr>
            <w:tcW w:w="1594" w:type="dxa"/>
            <w:tcBorders>
              <w:top w:val="nil"/>
              <w:left w:val="nil"/>
              <w:bottom w:val="nil"/>
              <w:right w:val="nil"/>
            </w:tcBorders>
          </w:tcPr>
          <w:p w:rsidR="000A1F7E" w:rsidRPr="00555FF2" w:rsidRDefault="005C09AC" w:rsidP="00E631FE">
            <w:pPr>
              <w:pStyle w:val="NoSpacing"/>
              <w:tabs>
                <w:tab w:val="decimal" w:pos="935"/>
              </w:tabs>
            </w:pPr>
            <w:r>
              <w:t>211.6</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Feed</w:t>
            </w:r>
          </w:p>
        </w:tc>
        <w:tc>
          <w:tcPr>
            <w:tcW w:w="1593" w:type="dxa"/>
            <w:tcBorders>
              <w:top w:val="nil"/>
              <w:left w:val="nil"/>
              <w:bottom w:val="nil"/>
              <w:right w:val="nil"/>
            </w:tcBorders>
          </w:tcPr>
          <w:p w:rsidR="000A1F7E" w:rsidRPr="00555FF2" w:rsidRDefault="000A1F7E" w:rsidP="00E631FE">
            <w:pPr>
              <w:pStyle w:val="NoSpacing"/>
              <w:tabs>
                <w:tab w:val="decimal" w:pos="706"/>
              </w:tabs>
            </w:pPr>
          </w:p>
        </w:tc>
        <w:tc>
          <w:tcPr>
            <w:tcW w:w="1594" w:type="dxa"/>
            <w:tcBorders>
              <w:top w:val="nil"/>
              <w:left w:val="nil"/>
              <w:bottom w:val="nil"/>
              <w:right w:val="nil"/>
            </w:tcBorders>
          </w:tcPr>
          <w:p w:rsidR="000A1F7E" w:rsidRPr="00555FF2" w:rsidRDefault="000A1F7E" w:rsidP="00E631FE">
            <w:pPr>
              <w:pStyle w:val="NoSpacing"/>
              <w:tabs>
                <w:tab w:val="decimal" w:pos="794"/>
              </w:tabs>
            </w:pPr>
          </w:p>
        </w:tc>
        <w:tc>
          <w:tcPr>
            <w:tcW w:w="1594" w:type="dxa"/>
            <w:tcBorders>
              <w:top w:val="nil"/>
              <w:left w:val="nil"/>
              <w:bottom w:val="nil"/>
              <w:right w:val="nil"/>
            </w:tcBorders>
          </w:tcPr>
          <w:p w:rsidR="000A1F7E" w:rsidRPr="00555FF2" w:rsidRDefault="000A1F7E" w:rsidP="00E631FE">
            <w:pPr>
              <w:pStyle w:val="NoSpacing"/>
              <w:tabs>
                <w:tab w:val="decimal" w:pos="935"/>
              </w:tabs>
            </w:pP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Hay, $ / ton all hay</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92.40</w:t>
            </w:r>
          </w:p>
        </w:tc>
        <w:tc>
          <w:tcPr>
            <w:tcW w:w="1594" w:type="dxa"/>
            <w:tcBorders>
              <w:top w:val="nil"/>
              <w:left w:val="nil"/>
              <w:bottom w:val="nil"/>
              <w:right w:val="nil"/>
            </w:tcBorders>
          </w:tcPr>
          <w:p w:rsidR="000A1F7E" w:rsidRPr="00555FF2" w:rsidRDefault="005C09AC" w:rsidP="00E631FE">
            <w:pPr>
              <w:pStyle w:val="NoSpacing"/>
              <w:tabs>
                <w:tab w:val="decimal" w:pos="794"/>
              </w:tabs>
            </w:pPr>
            <w:r>
              <w:t>112.00</w:t>
            </w:r>
          </w:p>
        </w:tc>
        <w:tc>
          <w:tcPr>
            <w:tcW w:w="1594" w:type="dxa"/>
            <w:tcBorders>
              <w:top w:val="nil"/>
              <w:left w:val="nil"/>
              <w:bottom w:val="nil"/>
              <w:right w:val="nil"/>
            </w:tcBorders>
          </w:tcPr>
          <w:p w:rsidR="000A1F7E" w:rsidRPr="00555FF2" w:rsidRDefault="005C09AC" w:rsidP="00E631FE">
            <w:pPr>
              <w:pStyle w:val="NoSpacing"/>
              <w:tabs>
                <w:tab w:val="decimal" w:pos="935"/>
              </w:tabs>
            </w:pPr>
            <w:r>
              <w:t>21.2</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 xml:space="preserve">Corn, $ / </w:t>
            </w:r>
            <w:proofErr w:type="spellStart"/>
            <w:r w:rsidRPr="00555FF2">
              <w:t>bu</w:t>
            </w:r>
            <w:proofErr w:type="spellEnd"/>
            <w:r w:rsidRPr="00555FF2">
              <w:t>, Kansas City</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2.43</w:t>
            </w:r>
          </w:p>
        </w:tc>
        <w:tc>
          <w:tcPr>
            <w:tcW w:w="1594" w:type="dxa"/>
            <w:tcBorders>
              <w:top w:val="nil"/>
              <w:left w:val="nil"/>
              <w:bottom w:val="nil"/>
              <w:right w:val="nil"/>
            </w:tcBorders>
          </w:tcPr>
          <w:p w:rsidR="000A1F7E" w:rsidRPr="00555FF2" w:rsidRDefault="005C09AC" w:rsidP="00E631FE">
            <w:pPr>
              <w:pStyle w:val="NoSpacing"/>
              <w:tabs>
                <w:tab w:val="decimal" w:pos="794"/>
              </w:tabs>
            </w:pPr>
            <w:r>
              <w:t>3.55</w:t>
            </w:r>
          </w:p>
        </w:tc>
        <w:tc>
          <w:tcPr>
            <w:tcW w:w="1594" w:type="dxa"/>
            <w:tcBorders>
              <w:top w:val="nil"/>
              <w:left w:val="nil"/>
              <w:bottom w:val="nil"/>
              <w:right w:val="nil"/>
            </w:tcBorders>
          </w:tcPr>
          <w:p w:rsidR="000A1F7E" w:rsidRPr="00555FF2" w:rsidRDefault="005C09AC" w:rsidP="00E631FE">
            <w:pPr>
              <w:pStyle w:val="NoSpacing"/>
              <w:tabs>
                <w:tab w:val="decimal" w:pos="935"/>
              </w:tabs>
            </w:pPr>
            <w:r>
              <w:t>46.1</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 xml:space="preserve">Soybean Meal $ / ton, Central IL </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181.58</w:t>
            </w:r>
          </w:p>
        </w:tc>
        <w:tc>
          <w:tcPr>
            <w:tcW w:w="1594" w:type="dxa"/>
            <w:tcBorders>
              <w:top w:val="nil"/>
              <w:left w:val="nil"/>
              <w:bottom w:val="nil"/>
              <w:right w:val="nil"/>
            </w:tcBorders>
          </w:tcPr>
          <w:p w:rsidR="000A1F7E" w:rsidRPr="00555FF2" w:rsidRDefault="00D449E7" w:rsidP="00E631FE">
            <w:pPr>
              <w:pStyle w:val="NoSpacing"/>
              <w:tabs>
                <w:tab w:val="decimal" w:pos="794"/>
              </w:tabs>
            </w:pPr>
            <w:r>
              <w:t>311.27</w:t>
            </w:r>
          </w:p>
        </w:tc>
        <w:tc>
          <w:tcPr>
            <w:tcW w:w="1594" w:type="dxa"/>
            <w:tcBorders>
              <w:top w:val="nil"/>
              <w:left w:val="nil"/>
              <w:bottom w:val="nil"/>
              <w:right w:val="nil"/>
            </w:tcBorders>
          </w:tcPr>
          <w:p w:rsidR="000A1F7E" w:rsidRPr="00555FF2" w:rsidRDefault="005C09AC" w:rsidP="00E631FE">
            <w:pPr>
              <w:pStyle w:val="NoSpacing"/>
              <w:tabs>
                <w:tab w:val="decimal" w:pos="935"/>
              </w:tabs>
            </w:pPr>
            <w:r>
              <w:t>71.4</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Fuel</w:t>
            </w:r>
          </w:p>
        </w:tc>
        <w:tc>
          <w:tcPr>
            <w:tcW w:w="1593" w:type="dxa"/>
            <w:tcBorders>
              <w:top w:val="nil"/>
              <w:left w:val="nil"/>
              <w:bottom w:val="nil"/>
              <w:right w:val="nil"/>
            </w:tcBorders>
          </w:tcPr>
          <w:p w:rsidR="000A1F7E" w:rsidRPr="00555FF2" w:rsidRDefault="000A1F7E" w:rsidP="00E631FE">
            <w:pPr>
              <w:pStyle w:val="NoSpacing"/>
              <w:tabs>
                <w:tab w:val="decimal" w:pos="706"/>
              </w:tabs>
            </w:pPr>
          </w:p>
        </w:tc>
        <w:tc>
          <w:tcPr>
            <w:tcW w:w="1594" w:type="dxa"/>
            <w:tcBorders>
              <w:top w:val="nil"/>
              <w:left w:val="nil"/>
              <w:bottom w:val="nil"/>
              <w:right w:val="nil"/>
            </w:tcBorders>
          </w:tcPr>
          <w:p w:rsidR="000A1F7E" w:rsidRPr="00555FF2" w:rsidRDefault="000A1F7E" w:rsidP="00E631FE">
            <w:pPr>
              <w:pStyle w:val="NoSpacing"/>
              <w:tabs>
                <w:tab w:val="decimal" w:pos="794"/>
              </w:tabs>
            </w:pPr>
          </w:p>
        </w:tc>
        <w:tc>
          <w:tcPr>
            <w:tcW w:w="1594" w:type="dxa"/>
            <w:tcBorders>
              <w:top w:val="nil"/>
              <w:left w:val="nil"/>
              <w:bottom w:val="nil"/>
              <w:right w:val="nil"/>
            </w:tcBorders>
          </w:tcPr>
          <w:p w:rsidR="000A1F7E" w:rsidRPr="00555FF2" w:rsidRDefault="000A1F7E" w:rsidP="00E631FE">
            <w:pPr>
              <w:pStyle w:val="NoSpacing"/>
              <w:tabs>
                <w:tab w:val="decimal" w:pos="935"/>
              </w:tabs>
            </w:pP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tab/>
              <w:t>Diesel, $ / Gallon, Nov</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1.17</w:t>
            </w:r>
          </w:p>
        </w:tc>
        <w:tc>
          <w:tcPr>
            <w:tcW w:w="1594" w:type="dxa"/>
            <w:tcBorders>
              <w:top w:val="nil"/>
              <w:left w:val="nil"/>
              <w:bottom w:val="nil"/>
              <w:right w:val="nil"/>
            </w:tcBorders>
          </w:tcPr>
          <w:p w:rsidR="000A1F7E" w:rsidRPr="00555FF2" w:rsidRDefault="00D449E7" w:rsidP="00E631FE">
            <w:pPr>
              <w:pStyle w:val="NoSpacing"/>
              <w:tabs>
                <w:tab w:val="decimal" w:pos="794"/>
              </w:tabs>
            </w:pPr>
            <w:r>
              <w:t>3.53</w:t>
            </w:r>
          </w:p>
        </w:tc>
        <w:tc>
          <w:tcPr>
            <w:tcW w:w="1594" w:type="dxa"/>
            <w:tcBorders>
              <w:top w:val="nil"/>
              <w:left w:val="nil"/>
              <w:bottom w:val="nil"/>
              <w:right w:val="nil"/>
            </w:tcBorders>
          </w:tcPr>
          <w:p w:rsidR="000A1F7E" w:rsidRPr="00555FF2" w:rsidRDefault="00D449E7" w:rsidP="00E631FE">
            <w:pPr>
              <w:pStyle w:val="NoSpacing"/>
              <w:tabs>
                <w:tab w:val="decimal" w:pos="935"/>
              </w:tabs>
            </w:pPr>
            <w:r>
              <w:t>201.7</w:t>
            </w:r>
          </w:p>
        </w:tc>
      </w:tr>
      <w:tr w:rsidR="000A1F7E" w:rsidRPr="00555FF2" w:rsidTr="00E631FE">
        <w:tc>
          <w:tcPr>
            <w:tcW w:w="3798" w:type="dxa"/>
            <w:tcBorders>
              <w:top w:val="nil"/>
              <w:left w:val="nil"/>
              <w:bottom w:val="nil"/>
              <w:right w:val="nil"/>
            </w:tcBorders>
          </w:tcPr>
          <w:p w:rsidR="000A1F7E" w:rsidRPr="00555FF2" w:rsidRDefault="000A1F7E" w:rsidP="00E631FE">
            <w:pPr>
              <w:pStyle w:val="NoSpacing"/>
            </w:pPr>
            <w:r w:rsidRPr="00555FF2">
              <w:tab/>
              <w:t>Gasoline, $ / Gallon, Jan</w:t>
            </w:r>
          </w:p>
        </w:tc>
        <w:tc>
          <w:tcPr>
            <w:tcW w:w="1593" w:type="dxa"/>
            <w:tcBorders>
              <w:top w:val="nil"/>
              <w:left w:val="nil"/>
              <w:bottom w:val="nil"/>
              <w:right w:val="nil"/>
            </w:tcBorders>
          </w:tcPr>
          <w:p w:rsidR="000A1F7E" w:rsidRPr="00555FF2" w:rsidRDefault="000A1F7E" w:rsidP="00E631FE">
            <w:pPr>
              <w:pStyle w:val="NoSpacing"/>
              <w:tabs>
                <w:tab w:val="decimal" w:pos="706"/>
              </w:tabs>
            </w:pPr>
            <w:r w:rsidRPr="00555FF2">
              <w:t>1.11</w:t>
            </w:r>
          </w:p>
        </w:tc>
        <w:tc>
          <w:tcPr>
            <w:tcW w:w="1594" w:type="dxa"/>
            <w:tcBorders>
              <w:top w:val="nil"/>
              <w:left w:val="nil"/>
              <w:bottom w:val="nil"/>
              <w:right w:val="nil"/>
            </w:tcBorders>
          </w:tcPr>
          <w:p w:rsidR="000A1F7E" w:rsidRPr="00555FF2" w:rsidRDefault="00D449E7" w:rsidP="00E631FE">
            <w:pPr>
              <w:pStyle w:val="NoSpacing"/>
              <w:tabs>
                <w:tab w:val="decimal" w:pos="794"/>
              </w:tabs>
            </w:pPr>
            <w:r>
              <w:t>3.54</w:t>
            </w:r>
          </w:p>
        </w:tc>
        <w:tc>
          <w:tcPr>
            <w:tcW w:w="1594" w:type="dxa"/>
            <w:tcBorders>
              <w:top w:val="nil"/>
              <w:left w:val="nil"/>
              <w:bottom w:val="nil"/>
              <w:right w:val="nil"/>
            </w:tcBorders>
          </w:tcPr>
          <w:p w:rsidR="000A1F7E" w:rsidRPr="00555FF2" w:rsidRDefault="00D449E7" w:rsidP="00E631FE">
            <w:pPr>
              <w:pStyle w:val="NoSpacing"/>
              <w:tabs>
                <w:tab w:val="decimal" w:pos="935"/>
              </w:tabs>
            </w:pPr>
            <w:r>
              <w:t>218.9</w:t>
            </w:r>
          </w:p>
        </w:tc>
      </w:tr>
      <w:tr w:rsidR="000A1F7E" w:rsidRPr="00555FF2" w:rsidTr="00E631FE">
        <w:tc>
          <w:tcPr>
            <w:tcW w:w="3798" w:type="dxa"/>
            <w:tcBorders>
              <w:top w:val="nil"/>
              <w:left w:val="nil"/>
              <w:bottom w:val="single" w:sz="4" w:space="0" w:color="auto"/>
              <w:right w:val="nil"/>
            </w:tcBorders>
          </w:tcPr>
          <w:p w:rsidR="000A1F7E" w:rsidRPr="00555FF2" w:rsidRDefault="000A1F7E" w:rsidP="00E631FE">
            <w:pPr>
              <w:pStyle w:val="NoSpacing"/>
            </w:pPr>
            <w:r w:rsidRPr="00555FF2">
              <w:t>Calves, $ / cwt, Missouri</w:t>
            </w:r>
          </w:p>
        </w:tc>
        <w:tc>
          <w:tcPr>
            <w:tcW w:w="1593" w:type="dxa"/>
            <w:tcBorders>
              <w:top w:val="nil"/>
              <w:left w:val="nil"/>
              <w:bottom w:val="single" w:sz="4" w:space="0" w:color="auto"/>
              <w:right w:val="nil"/>
            </w:tcBorders>
          </w:tcPr>
          <w:p w:rsidR="000A1F7E" w:rsidRPr="00555FF2" w:rsidRDefault="000A1F7E" w:rsidP="00E631FE">
            <w:pPr>
              <w:pStyle w:val="NoSpacing"/>
              <w:tabs>
                <w:tab w:val="decimal" w:pos="706"/>
              </w:tabs>
            </w:pPr>
            <w:r w:rsidRPr="00555FF2">
              <w:t>92.30</w:t>
            </w:r>
          </w:p>
        </w:tc>
        <w:tc>
          <w:tcPr>
            <w:tcW w:w="1594" w:type="dxa"/>
            <w:tcBorders>
              <w:top w:val="nil"/>
              <w:left w:val="nil"/>
              <w:bottom w:val="single" w:sz="4" w:space="0" w:color="auto"/>
              <w:right w:val="nil"/>
            </w:tcBorders>
          </w:tcPr>
          <w:p w:rsidR="000A1F7E" w:rsidRPr="00555FF2" w:rsidRDefault="00D449E7" w:rsidP="00E631FE">
            <w:pPr>
              <w:pStyle w:val="NoSpacing"/>
              <w:tabs>
                <w:tab w:val="decimal" w:pos="794"/>
              </w:tabs>
            </w:pPr>
            <w:r>
              <w:t>119</w:t>
            </w:r>
            <w:r w:rsidR="000A1F7E" w:rsidRPr="00555FF2">
              <w:t>.00</w:t>
            </w:r>
          </w:p>
        </w:tc>
        <w:tc>
          <w:tcPr>
            <w:tcW w:w="1594" w:type="dxa"/>
            <w:tcBorders>
              <w:top w:val="nil"/>
              <w:left w:val="nil"/>
              <w:bottom w:val="single" w:sz="4" w:space="0" w:color="auto"/>
              <w:right w:val="nil"/>
            </w:tcBorders>
          </w:tcPr>
          <w:p w:rsidR="000A1F7E" w:rsidRPr="00555FF2" w:rsidRDefault="00D449E7" w:rsidP="00E631FE">
            <w:pPr>
              <w:pStyle w:val="NoSpacing"/>
              <w:tabs>
                <w:tab w:val="decimal" w:pos="935"/>
              </w:tabs>
            </w:pPr>
            <w:r>
              <w:t>28.9</w:t>
            </w:r>
          </w:p>
        </w:tc>
      </w:tr>
      <w:tr w:rsidR="000A1F7E" w:rsidRPr="00555FF2" w:rsidTr="00E631FE">
        <w:tc>
          <w:tcPr>
            <w:tcW w:w="8579" w:type="dxa"/>
            <w:gridSpan w:val="4"/>
            <w:tcBorders>
              <w:top w:val="single" w:sz="4" w:space="0" w:color="auto"/>
              <w:left w:val="nil"/>
              <w:bottom w:val="nil"/>
              <w:right w:val="nil"/>
            </w:tcBorders>
          </w:tcPr>
          <w:p w:rsidR="000A1F7E" w:rsidRPr="00555FF2" w:rsidRDefault="000A1F7E" w:rsidP="00E631FE">
            <w:pPr>
              <w:pStyle w:val="NoSpacing"/>
            </w:pPr>
            <w:r w:rsidRPr="00555FF2">
              <w:t>ERS</w:t>
            </w:r>
            <w:r w:rsidR="005C09AC">
              <w:t xml:space="preserve"> 2011</w:t>
            </w:r>
            <w:r w:rsidR="002945CB">
              <w:t>;</w:t>
            </w:r>
            <w:r w:rsidR="005C09AC">
              <w:t xml:space="preserve"> USDA 2003, 2011</w:t>
            </w:r>
            <w:r w:rsidRPr="00555FF2">
              <w:t>.</w:t>
            </w:r>
          </w:p>
        </w:tc>
      </w:tr>
    </w:tbl>
    <w:p w:rsidR="000A1F7E" w:rsidRDefault="000A1F7E" w:rsidP="00160EC5">
      <w:pPr>
        <w:pStyle w:val="NoSpacing"/>
      </w:pPr>
    </w:p>
    <w:p w:rsidR="0040251E" w:rsidRDefault="00033A36" w:rsidP="00160EC5">
      <w:pPr>
        <w:pStyle w:val="NoSpacing"/>
      </w:pPr>
      <w:r>
        <w:t>Historically beef producers practice grazing management</w:t>
      </w:r>
      <w:r w:rsidR="000A1F7E">
        <w:t xml:space="preserve"> to reduce input costs</w:t>
      </w:r>
      <w:r>
        <w:t>.  Management ranges from turning cattle into one large pasture all summer to</w:t>
      </w:r>
      <w:r w:rsidR="000A1F7E">
        <w:t xml:space="preserve"> minimize labor and capital costs to</w:t>
      </w:r>
      <w:r>
        <w:t xml:space="preserve"> moving cattle to new pastures several times </w:t>
      </w:r>
      <w:r w:rsidR="00D61357">
        <w:t xml:space="preserve">daily </w:t>
      </w:r>
      <w:r w:rsidR="000A1F7E">
        <w:t>to minimize feed and fertilizer costs</w:t>
      </w:r>
      <w:r>
        <w:t>.  Both options are managed grazing systems,</w:t>
      </w:r>
      <w:r w:rsidR="000A1F7E">
        <w:t xml:space="preserve"> with significantly different goals and </w:t>
      </w:r>
      <w:r>
        <w:t>intens</w:t>
      </w:r>
      <w:r w:rsidR="000A1F7E">
        <w:t>ities.</w:t>
      </w:r>
    </w:p>
    <w:p w:rsidR="000A1F7E" w:rsidRDefault="000A1F7E" w:rsidP="00160EC5">
      <w:pPr>
        <w:pStyle w:val="NoSpacing"/>
      </w:pPr>
    </w:p>
    <w:p w:rsidR="00033A36" w:rsidRDefault="000A1F7E" w:rsidP="00160EC5">
      <w:pPr>
        <w:pStyle w:val="NoSpacing"/>
      </w:pPr>
      <w:r>
        <w:t>G</w:t>
      </w:r>
      <w:r w:rsidR="00033A36">
        <w:t>razing management has been through several name changes with little practice modification</w:t>
      </w:r>
      <w:r>
        <w:t>s</w:t>
      </w:r>
      <w:r w:rsidR="00033A36">
        <w:t xml:space="preserve">.  Originally pastures were small and cattle were moved around the farm throughout the summer.  As pasture size increased internal fences were required to restrict cattle from grazing the entire pasture.  Cattle were rotated through pastures allowing </w:t>
      </w:r>
      <w:r w:rsidR="0040251E">
        <w:t xml:space="preserve">rest and </w:t>
      </w:r>
      <w:r w:rsidR="00033A36">
        <w:t>re</w:t>
      </w:r>
      <w:r w:rsidR="007B4601">
        <w:t>-</w:t>
      </w:r>
      <w:r w:rsidR="00033A36">
        <w:t xml:space="preserve">growth </w:t>
      </w:r>
      <w:r w:rsidR="0040251E">
        <w:t xml:space="preserve">of previously grazed pastures.  This was termed rotational grazing, later intensive grazing and most recently management intensive grazing.  Fundamentally these management systems differ only in name; </w:t>
      </w:r>
      <w:r w:rsidR="007B4601">
        <w:t xml:space="preserve">in all systems </w:t>
      </w:r>
      <w:r w:rsidR="0040251E">
        <w:t xml:space="preserve">cattle are restricted from </w:t>
      </w:r>
      <w:r w:rsidR="00FF1B9C">
        <w:t>grazing the entire pasture</w:t>
      </w:r>
      <w:r w:rsidR="007B4601">
        <w:t>.</w:t>
      </w:r>
    </w:p>
    <w:p w:rsidR="0040251E" w:rsidRDefault="0040251E" w:rsidP="00160EC5">
      <w:pPr>
        <w:pStyle w:val="NoSpacing"/>
      </w:pPr>
    </w:p>
    <w:p w:rsidR="00823D2A" w:rsidRDefault="0040251E" w:rsidP="00480D19">
      <w:pPr>
        <w:pStyle w:val="NoSpacing"/>
      </w:pPr>
      <w:r>
        <w:t>Mob grazing has increased in popularity recently where large stocking rates are employed in small pasture areas.  Mob grazing has two forms, grazing quality pasture for short duration</w:t>
      </w:r>
      <w:r w:rsidR="007B4601">
        <w:t>s</w:t>
      </w:r>
      <w:r>
        <w:t xml:space="preserve"> or grazing and trampling mature, low-quality pasture quickly to incorporate rejected plant material into soil structure.</w:t>
      </w:r>
      <w:r w:rsidR="00823D2A">
        <w:t xml:space="preserve">  Regardless of grazing system utilized the </w:t>
      </w:r>
      <w:r w:rsidR="00480D19">
        <w:t xml:space="preserve">grazing wedge </w:t>
      </w:r>
      <w:r w:rsidR="00823D2A">
        <w:t>can be u</w:t>
      </w:r>
      <w:r w:rsidR="00480D19">
        <w:t>tilize</w:t>
      </w:r>
      <w:r w:rsidR="00823D2A">
        <w:t>d</w:t>
      </w:r>
      <w:r w:rsidR="00480D19">
        <w:t xml:space="preserve"> to monitor current and historic pasture conditions</w:t>
      </w:r>
      <w:r w:rsidR="000A1F7E">
        <w:t xml:space="preserve"> while addressing feed, fuel and fertilizer costs</w:t>
      </w:r>
      <w:r w:rsidR="00480D19">
        <w:t xml:space="preserve">.  </w:t>
      </w:r>
    </w:p>
    <w:p w:rsidR="00823D2A" w:rsidRDefault="00823D2A" w:rsidP="00480D19">
      <w:pPr>
        <w:pStyle w:val="NoSpacing"/>
      </w:pPr>
    </w:p>
    <w:p w:rsidR="00823D2A" w:rsidRDefault="0018190A" w:rsidP="00480D19">
      <w:pPr>
        <w:pStyle w:val="NoSpacing"/>
      </w:pPr>
      <w:r w:rsidRPr="002D5B72">
        <w:rPr>
          <w:iCs/>
        </w:rPr>
        <w:t xml:space="preserve">The </w:t>
      </w:r>
      <w:r>
        <w:rPr>
          <w:iCs/>
        </w:rPr>
        <w:t xml:space="preserve">grazing wedge is a visual picture of the available farm forage resource.  This visual picture illustrates forage quality and quantity available for grazing now and in the future (Kallenbach 2008).  A grazing wedge for a SW Missouri grazing dairy is shown in exhibit </w:t>
      </w:r>
      <w:r w:rsidR="000A1F7E">
        <w:rPr>
          <w:iCs/>
        </w:rPr>
        <w:t>2</w:t>
      </w:r>
      <w:r>
        <w:rPr>
          <w:iCs/>
        </w:rPr>
        <w:t xml:space="preserve">.  Grazing wedges use weekly forage growth data collected using a rising plate meter.  Plate meter readings entered into a grazing wedge are used to illustrate </w:t>
      </w:r>
      <w:r w:rsidR="007B4601">
        <w:t xml:space="preserve">which pastures are next to graze, were grazed too long, should be hayed or need fertilized.  The grazing wedge permits feed budgeting by giving producers </w:t>
      </w:r>
      <w:r w:rsidR="00A86DD2">
        <w:t>advance warning of pasture over and under production.</w:t>
      </w:r>
    </w:p>
    <w:p w:rsidR="000A1F7E" w:rsidRDefault="000A1F7E" w:rsidP="00480D19">
      <w:pPr>
        <w:pStyle w:val="NoSpacing"/>
      </w:pPr>
    </w:p>
    <w:p w:rsidR="000A1F7E" w:rsidRPr="000A1F7E" w:rsidRDefault="00F24FB3" w:rsidP="000A1F7E">
      <w:pPr>
        <w:pStyle w:val="BodyText1"/>
        <w:ind w:firstLine="0"/>
        <w:jc w:val="both"/>
        <w:rPr>
          <w:rFonts w:ascii="Times New Roman" w:hAnsi="Times New Roman"/>
          <w:iCs/>
          <w:sz w:val="24"/>
          <w:szCs w:val="24"/>
        </w:rPr>
      </w:pPr>
      <w:proofErr w:type="gramStart"/>
      <w:r>
        <w:rPr>
          <w:rFonts w:ascii="Times New Roman" w:hAnsi="Times New Roman"/>
          <w:sz w:val="24"/>
          <w:szCs w:val="24"/>
        </w:rPr>
        <w:t>Exhibit 2</w:t>
      </w:r>
      <w:r w:rsidR="000A1F7E" w:rsidRPr="000A1F7E">
        <w:rPr>
          <w:rFonts w:ascii="Times New Roman" w:hAnsi="Times New Roman"/>
          <w:sz w:val="24"/>
          <w:szCs w:val="24"/>
        </w:rPr>
        <w:t>.</w:t>
      </w:r>
      <w:proofErr w:type="gramEnd"/>
      <w:r w:rsidR="000A1F7E" w:rsidRPr="000A1F7E">
        <w:rPr>
          <w:rFonts w:ascii="Times New Roman" w:hAnsi="Times New Roman"/>
          <w:sz w:val="24"/>
          <w:szCs w:val="24"/>
        </w:rPr>
        <w:t xml:space="preserve">  </w:t>
      </w:r>
      <w:proofErr w:type="gramStart"/>
      <w:r w:rsidR="000A1F7E" w:rsidRPr="000A1F7E">
        <w:rPr>
          <w:rFonts w:ascii="Times New Roman" w:hAnsi="Times New Roman"/>
          <w:iCs/>
          <w:sz w:val="24"/>
          <w:szCs w:val="24"/>
        </w:rPr>
        <w:t>Grazing wedge for S</w:t>
      </w:r>
      <w:r w:rsidR="00321C08">
        <w:rPr>
          <w:rFonts w:ascii="Times New Roman" w:hAnsi="Times New Roman"/>
          <w:iCs/>
          <w:sz w:val="24"/>
          <w:szCs w:val="24"/>
        </w:rPr>
        <w:t xml:space="preserve">outh West </w:t>
      </w:r>
      <w:r w:rsidR="000A1F7E" w:rsidRPr="000A1F7E">
        <w:rPr>
          <w:rFonts w:ascii="Times New Roman" w:hAnsi="Times New Roman"/>
          <w:iCs/>
          <w:sz w:val="24"/>
          <w:szCs w:val="24"/>
        </w:rPr>
        <w:t>Missouri</w:t>
      </w:r>
      <w:r w:rsidR="000F6C50">
        <w:rPr>
          <w:rFonts w:ascii="Times New Roman" w:hAnsi="Times New Roman"/>
          <w:iCs/>
          <w:sz w:val="24"/>
          <w:szCs w:val="24"/>
        </w:rPr>
        <w:t>.</w:t>
      </w:r>
      <w:proofErr w:type="gramEnd"/>
    </w:p>
    <w:p w:rsidR="000A1F7E" w:rsidRDefault="000A1F7E" w:rsidP="007B4601">
      <w:pPr>
        <w:pStyle w:val="NoSpacing"/>
      </w:pPr>
      <w:r w:rsidRPr="000A1F7E">
        <w:rPr>
          <w:noProof/>
        </w:rPr>
        <w:drawing>
          <wp:inline distT="0" distB="0" distL="0" distR="0" wp14:anchorId="1152E9A3" wp14:editId="34D9D8F3">
            <wp:extent cx="5906265" cy="5184396"/>
            <wp:effectExtent l="19050" t="0" r="0" b="0"/>
            <wp:docPr id="3" name="Picture 1" descr="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ge"/>
                    <pic:cNvPicPr>
                      <a:picLocks noChangeAspect="1" noChangeArrowheads="1"/>
                    </pic:cNvPicPr>
                  </pic:nvPicPr>
                  <pic:blipFill>
                    <a:blip r:embed="rId6" cstate="print"/>
                    <a:srcRect/>
                    <a:stretch>
                      <a:fillRect/>
                    </a:stretch>
                  </pic:blipFill>
                  <pic:spPr bwMode="auto">
                    <a:xfrm>
                      <a:off x="0" y="0"/>
                      <a:ext cx="5915388" cy="5192404"/>
                    </a:xfrm>
                    <a:prstGeom prst="rect">
                      <a:avLst/>
                    </a:prstGeom>
                    <a:noFill/>
                    <a:ln w="9525">
                      <a:noFill/>
                      <a:miter lim="800000"/>
                      <a:headEnd/>
                      <a:tailEnd/>
                    </a:ln>
                  </pic:spPr>
                </pic:pic>
              </a:graphicData>
            </a:graphic>
          </wp:inline>
        </w:drawing>
      </w:r>
    </w:p>
    <w:p w:rsidR="000A1F7E" w:rsidRDefault="000A1F7E" w:rsidP="007B4601">
      <w:pPr>
        <w:pStyle w:val="NoSpacing"/>
      </w:pPr>
    </w:p>
    <w:p w:rsidR="007B4601" w:rsidRDefault="00A86DD2" w:rsidP="007B4601">
      <w:pPr>
        <w:pStyle w:val="NoSpacing"/>
      </w:pPr>
      <w:r>
        <w:t>To guide management decisions a g</w:t>
      </w:r>
      <w:r w:rsidR="007B4601">
        <w:t>r</w:t>
      </w:r>
      <w:r>
        <w:t>azing wedge</w:t>
      </w:r>
      <w:r w:rsidR="007B4601">
        <w:t xml:space="preserve"> use</w:t>
      </w:r>
      <w:r>
        <w:t>s</w:t>
      </w:r>
      <w:r w:rsidR="007B4601">
        <w:t xml:space="preserve"> two </w:t>
      </w:r>
      <w:r>
        <w:t xml:space="preserve">“threshold” </w:t>
      </w:r>
      <w:r w:rsidR="007B4601">
        <w:t xml:space="preserve">numbers.  The first </w:t>
      </w:r>
      <w:r>
        <w:t xml:space="preserve">threshold </w:t>
      </w:r>
      <w:r w:rsidR="007B4601">
        <w:t xml:space="preserve">is the minimum required </w:t>
      </w:r>
      <w:r w:rsidR="000A1F7E">
        <w:t xml:space="preserve">pasture residual </w:t>
      </w:r>
      <w:r w:rsidR="007B4601">
        <w:t>cover</w:t>
      </w:r>
      <w:r w:rsidR="000A1F7E">
        <w:t>.</w:t>
      </w:r>
      <w:r w:rsidR="007B4601">
        <w:t xml:space="preserve">  In exhibit </w:t>
      </w:r>
      <w:r w:rsidR="000A1F7E">
        <w:t>2</w:t>
      </w:r>
      <w:r w:rsidR="007B4601">
        <w:t xml:space="preserve"> the minim</w:t>
      </w:r>
      <w:r>
        <w:t>um required cover is 1,400 pounds</w:t>
      </w:r>
      <w:r w:rsidR="007B4601">
        <w:t xml:space="preserve"> of dry matter per acre</w:t>
      </w:r>
      <w:r>
        <w:t xml:space="preserve">.  </w:t>
      </w:r>
      <w:r w:rsidR="007B4601">
        <w:t>Pastures grazed or hayed below this threshold will require greater recovery periods</w:t>
      </w:r>
      <w:r>
        <w:t xml:space="preserve"> due to overgrazing</w:t>
      </w:r>
      <w:r w:rsidR="007B4601">
        <w:t>.</w:t>
      </w:r>
    </w:p>
    <w:p w:rsidR="00321C08" w:rsidRDefault="00321C08" w:rsidP="007B4601">
      <w:pPr>
        <w:pStyle w:val="NoSpacing"/>
      </w:pPr>
    </w:p>
    <w:p w:rsidR="007B4601" w:rsidRDefault="007B4601" w:rsidP="007B4601">
      <w:pPr>
        <w:pStyle w:val="NoSpacing"/>
      </w:pPr>
      <w:r>
        <w:lastRenderedPageBreak/>
        <w:t>Th</w:t>
      </w:r>
      <w:r w:rsidR="00A86DD2">
        <w:t>e next threshold is where forage becomes too mature to support desired animal performance.  In exhi</w:t>
      </w:r>
      <w:r w:rsidR="000A1F7E">
        <w:t>bit 2</w:t>
      </w:r>
      <w:r w:rsidR="00A86DD2">
        <w:t xml:space="preserve"> this threshold is 2750 pounds dry matter per acre.  Pastures exceeding this threshold are set aside to accumulate growth for haying or are alternatively grazed by cattle with lower nutrient requirements.</w:t>
      </w:r>
    </w:p>
    <w:p w:rsidR="00A90CC8" w:rsidRDefault="00A90CC8" w:rsidP="00480D19">
      <w:pPr>
        <w:pStyle w:val="NoSpacing"/>
        <w:rPr>
          <w:iCs/>
        </w:rPr>
      </w:pPr>
    </w:p>
    <w:p w:rsidR="00067F03" w:rsidRDefault="00A90CC8" w:rsidP="00480D19">
      <w:pPr>
        <w:pStyle w:val="NoSpacing"/>
        <w:rPr>
          <w:iCs/>
        </w:rPr>
      </w:pPr>
      <w:r>
        <w:rPr>
          <w:iCs/>
        </w:rPr>
        <w:t xml:space="preserve">Pastures under 2,750 and greater than 1,400 pounds of dry matter are within the target quality range and are ready to be grazed.  </w:t>
      </w:r>
      <w:r w:rsidR="00067F03">
        <w:rPr>
          <w:iCs/>
        </w:rPr>
        <w:t>Within these threshold values t</w:t>
      </w:r>
      <w:r w:rsidR="000A1F7E">
        <w:rPr>
          <w:iCs/>
        </w:rPr>
        <w:t xml:space="preserve">he desired target cover line </w:t>
      </w:r>
      <w:r w:rsidR="00067F03">
        <w:rPr>
          <w:iCs/>
        </w:rPr>
        <w:t>i</w:t>
      </w:r>
      <w:r w:rsidR="000A1F7E">
        <w:rPr>
          <w:iCs/>
        </w:rPr>
        <w:t>ndicate</w:t>
      </w:r>
      <w:r w:rsidR="00067F03">
        <w:rPr>
          <w:iCs/>
        </w:rPr>
        <w:t xml:space="preserve">s forage excess and deficiencies.  Pastures beyond </w:t>
      </w:r>
      <w:r w:rsidR="000A1F7E">
        <w:rPr>
          <w:iCs/>
        </w:rPr>
        <w:t xml:space="preserve">the line represent excess forage while paddocks under the line represent </w:t>
      </w:r>
      <w:r w:rsidR="00067F03">
        <w:rPr>
          <w:iCs/>
        </w:rPr>
        <w:t xml:space="preserve">potential </w:t>
      </w:r>
      <w:r w:rsidR="000A1F7E">
        <w:rPr>
          <w:iCs/>
        </w:rPr>
        <w:t>forage deficiencies.</w:t>
      </w:r>
    </w:p>
    <w:p w:rsidR="00067F03" w:rsidRDefault="00067F03" w:rsidP="00480D19">
      <w:pPr>
        <w:pStyle w:val="NoSpacing"/>
        <w:rPr>
          <w:iCs/>
        </w:rPr>
      </w:pPr>
    </w:p>
    <w:p w:rsidR="00737446" w:rsidRDefault="0018190A" w:rsidP="00480D19">
      <w:pPr>
        <w:pStyle w:val="NoSpacing"/>
        <w:rPr>
          <w:iCs/>
        </w:rPr>
      </w:pPr>
      <w:r>
        <w:rPr>
          <w:iCs/>
        </w:rPr>
        <w:t xml:space="preserve">The grazing wedge also reports estimated forage growth rate for the previous measurement </w:t>
      </w:r>
      <w:r w:rsidR="00737446">
        <w:rPr>
          <w:iCs/>
        </w:rPr>
        <w:t>period.  Period growth rates illustrate the need to match seasonal stocking rate and/or nutrient demand with forage growth.  During the spring of the year many operations are stocked at 1/3 capacity relative to current growth rates.  Using the forage growth rates from the grazing wedge producers can observe opportunities to harvest excess forage or increase seasonal stocking rates.</w:t>
      </w:r>
    </w:p>
    <w:p w:rsidR="00737446" w:rsidRDefault="00737446" w:rsidP="00480D19">
      <w:pPr>
        <w:pStyle w:val="NoSpacing"/>
        <w:rPr>
          <w:iCs/>
        </w:rPr>
      </w:pPr>
    </w:p>
    <w:p w:rsidR="00737446" w:rsidRDefault="0018190A" w:rsidP="00480D19">
      <w:pPr>
        <w:pStyle w:val="NoSpacing"/>
        <w:rPr>
          <w:iCs/>
        </w:rPr>
      </w:pPr>
      <w:r>
        <w:rPr>
          <w:iCs/>
        </w:rPr>
        <w:t xml:space="preserve">Using </w:t>
      </w:r>
      <w:r w:rsidR="00737446">
        <w:rPr>
          <w:iCs/>
        </w:rPr>
        <w:t xml:space="preserve">available forage, current </w:t>
      </w:r>
      <w:r>
        <w:rPr>
          <w:iCs/>
        </w:rPr>
        <w:t xml:space="preserve">growth rates, target cover line and paddock rotation length producers can plan </w:t>
      </w:r>
      <w:r w:rsidR="002D66F7">
        <w:rPr>
          <w:iCs/>
        </w:rPr>
        <w:t xml:space="preserve">to address </w:t>
      </w:r>
      <w:r>
        <w:rPr>
          <w:iCs/>
        </w:rPr>
        <w:t xml:space="preserve">future forage excess or deficiencies using strategic </w:t>
      </w:r>
      <w:r w:rsidR="00737446">
        <w:rPr>
          <w:iCs/>
        </w:rPr>
        <w:t xml:space="preserve">pasture rotation, </w:t>
      </w:r>
      <w:r>
        <w:rPr>
          <w:iCs/>
        </w:rPr>
        <w:t>fertilization, supp</w:t>
      </w:r>
      <w:r w:rsidR="00737446">
        <w:rPr>
          <w:iCs/>
        </w:rPr>
        <w:t>lementation or hay harvest.  Whereas under current rotational grazing systems many producers simply move through each pasture without regard for re-growth quality and availability in previously grazed pastures.</w:t>
      </w:r>
    </w:p>
    <w:p w:rsidR="00A90CC8" w:rsidRDefault="00A90CC8" w:rsidP="00480D19">
      <w:pPr>
        <w:pStyle w:val="NoSpacing"/>
        <w:rPr>
          <w:iCs/>
        </w:rPr>
      </w:pPr>
    </w:p>
    <w:p w:rsidR="00480D19" w:rsidRDefault="0018190A" w:rsidP="00480D19">
      <w:pPr>
        <w:pStyle w:val="NoSpacing"/>
        <w:rPr>
          <w:iCs/>
        </w:rPr>
      </w:pPr>
      <w:r>
        <w:rPr>
          <w:iCs/>
        </w:rPr>
        <w:t>Using the grazing wedge Missouri pasture-based dairy producers have planned pasture rotation, feed supplementation and fertilizer application rates and timing in accordance with dynamic forage availability and quality (Kallenbach 2002).</w:t>
      </w:r>
    </w:p>
    <w:p w:rsidR="00983D23" w:rsidRDefault="00983D23" w:rsidP="00480D19">
      <w:pPr>
        <w:pStyle w:val="NoSpacing"/>
        <w:rPr>
          <w:iCs/>
        </w:rPr>
      </w:pPr>
    </w:p>
    <w:p w:rsidR="00983D23" w:rsidRDefault="00983D23" w:rsidP="00480D19">
      <w:pPr>
        <w:pStyle w:val="NoSpacing"/>
        <w:rPr>
          <w:iCs/>
        </w:rPr>
      </w:pPr>
      <w:r>
        <w:rPr>
          <w:iCs/>
        </w:rPr>
        <w:t>Using grazing wedge data over time allows producers to document pasture productivity and growth patterns year-to-year or season-to-season.  Using pasture productivity data producers can improve forage management and resource utilization by targeting livestock nutrient demand or fertilizer resources to specific pastures.</w:t>
      </w:r>
    </w:p>
    <w:p w:rsidR="00CA6555" w:rsidRDefault="00CA6555" w:rsidP="00480D19">
      <w:pPr>
        <w:pStyle w:val="NoSpacing"/>
        <w:rPr>
          <w:iCs/>
        </w:rPr>
      </w:pPr>
    </w:p>
    <w:p w:rsidR="008403C8" w:rsidRDefault="00F21EAC" w:rsidP="00F21EAC">
      <w:pPr>
        <w:pStyle w:val="NoSpacing"/>
      </w:pPr>
      <w:r>
        <w:t>Producers who keep grazing records and/or pasture species inventories have improved pasture management and utilization (</w:t>
      </w:r>
      <w:proofErr w:type="spellStart"/>
      <w:r>
        <w:t>Duesterberg</w:t>
      </w:r>
      <w:proofErr w:type="spellEnd"/>
      <w:r>
        <w:t xml:space="preserve"> 1999; Schroeder 1994).  Beef producer resource monitoring and utilization of the resulting data often determines operation success (Wells 2004).  Feed planning on pasture-based dairies is cited as an important management strategy for improved profitability, with practical methods to assess farm-based feed resources representing a significant barrier to implementation (Bosworth 2007).</w:t>
      </w:r>
      <w:r w:rsidR="002D66F7">
        <w:t xml:space="preserve">  </w:t>
      </w:r>
    </w:p>
    <w:p w:rsidR="008403C8" w:rsidRDefault="008403C8" w:rsidP="00F21EAC">
      <w:pPr>
        <w:pStyle w:val="NoSpacing"/>
      </w:pPr>
    </w:p>
    <w:p w:rsidR="008403C8" w:rsidRDefault="008403C8" w:rsidP="00480D19">
      <w:pPr>
        <w:pStyle w:val="NoSpacing"/>
      </w:pPr>
      <w:r>
        <w:t>To address the farm-based feed resource barrier producers can utilize t</w:t>
      </w:r>
      <w:r w:rsidR="002D66F7">
        <w:t xml:space="preserve">he grazing wedge </w:t>
      </w:r>
      <w:r>
        <w:t>a</w:t>
      </w:r>
      <w:r w:rsidR="002D66F7">
        <w:t xml:space="preserve">s one practical tool assess the pasture resource </w:t>
      </w:r>
      <w:r>
        <w:t xml:space="preserve">while minimizing </w:t>
      </w:r>
      <w:r w:rsidR="002D66F7">
        <w:t>input costs.</w:t>
      </w:r>
      <w:r>
        <w:t xml:space="preserve">  For those interested in developing their own grazing wedge visit </w:t>
      </w:r>
      <w:hyperlink r:id="rId7" w:history="1">
        <w:r w:rsidR="003C1601" w:rsidRPr="007B00F3">
          <w:rPr>
            <w:rStyle w:val="Hyperlink"/>
          </w:rPr>
          <w:t>http://grazingbeef.missouri.edu/</w:t>
        </w:r>
      </w:hyperlink>
      <w:r w:rsidR="003C1601">
        <w:t xml:space="preserve"> </w:t>
      </w:r>
      <w:r>
        <w:t>and set up your farm.  Producers need not have a rising plate meter to participate, walk each pasture you want to measure and collect forage availability measurements using a grazing stick.</w:t>
      </w:r>
    </w:p>
    <w:p w:rsidR="008403C8" w:rsidRDefault="008403C8">
      <w:r>
        <w:br w:type="page"/>
      </w:r>
    </w:p>
    <w:p w:rsidR="00CA6555" w:rsidRPr="00BC7853" w:rsidRDefault="009D5E5C" w:rsidP="00CA6555">
      <w:pPr>
        <w:pStyle w:val="BodyText1"/>
        <w:ind w:firstLine="0"/>
        <w:rPr>
          <w:rFonts w:ascii="Times New Roman" w:hAnsi="Times New Roman"/>
          <w:b/>
          <w:iCs/>
          <w:sz w:val="24"/>
        </w:rPr>
      </w:pPr>
      <w:r>
        <w:rPr>
          <w:rFonts w:ascii="Times New Roman" w:hAnsi="Times New Roman"/>
          <w:b/>
          <w:iCs/>
          <w:sz w:val="24"/>
        </w:rPr>
        <w:lastRenderedPageBreak/>
        <w:t>Literature Cited</w:t>
      </w:r>
    </w:p>
    <w:p w:rsidR="008403C8" w:rsidRDefault="008403C8" w:rsidP="00F21EAC">
      <w:pPr>
        <w:pStyle w:val="NoSpacing"/>
        <w:spacing w:line="260" w:lineRule="atLeast"/>
        <w:ind w:left="360" w:hanging="360"/>
      </w:pPr>
    </w:p>
    <w:p w:rsidR="00F21EAC" w:rsidRDefault="00F21EAC" w:rsidP="00F21EAC">
      <w:pPr>
        <w:pStyle w:val="NoSpacing"/>
        <w:spacing w:line="260" w:lineRule="atLeast"/>
        <w:ind w:left="360" w:hanging="360"/>
      </w:pPr>
      <w:r>
        <w:t xml:space="preserve">Bosworth, S.  2007.  Assessing on-farm pasture availability and forage quality for dairy feed planning.  SARE Project number ONE06-052.  </w:t>
      </w:r>
      <w:r w:rsidRPr="001E0F51">
        <w:t>http://www.sare.org/reporting/report_viewer .</w:t>
      </w:r>
      <w:proofErr w:type="spellStart"/>
      <w:r w:rsidRPr="001E0F51">
        <w:t>asp</w:t>
      </w:r>
      <w:proofErr w:type="gramStart"/>
      <w:r w:rsidRPr="001E0F51">
        <w:t>?pn</w:t>
      </w:r>
      <w:proofErr w:type="spellEnd"/>
      <w:proofErr w:type="gramEnd"/>
      <w:r w:rsidRPr="001E0F51">
        <w:t>=ONE06-052&amp;ry=2007&amp;rf=1</w:t>
      </w:r>
      <w:r>
        <w:t xml:space="preserve">.  </w:t>
      </w:r>
      <w:proofErr w:type="gramStart"/>
      <w:r>
        <w:t>Accessed Oct 24, 2008.</w:t>
      </w:r>
      <w:proofErr w:type="gramEnd"/>
    </w:p>
    <w:p w:rsidR="00F21EAC" w:rsidRDefault="00F21EAC" w:rsidP="00F21EAC">
      <w:pPr>
        <w:pStyle w:val="NoSpacing"/>
        <w:spacing w:line="260" w:lineRule="atLeast"/>
        <w:ind w:left="360" w:hanging="360"/>
      </w:pPr>
      <w:proofErr w:type="spellStart"/>
      <w:r>
        <w:t>Duesterberg</w:t>
      </w:r>
      <w:proofErr w:type="spellEnd"/>
      <w:r>
        <w:t xml:space="preserve">, K.  1999.  Expanding Profits for Sheep Production </w:t>
      </w:r>
      <w:proofErr w:type="gramStart"/>
      <w:r>
        <w:t>Through</w:t>
      </w:r>
      <w:proofErr w:type="gramEnd"/>
      <w:r>
        <w:t xml:space="preserve"> Intensive Pasture Management.  SARE Project number LNE95-054.  </w:t>
      </w:r>
      <w:r w:rsidRPr="00EE7907">
        <w:t>http://www.sare.org/reporting/report_</w:t>
      </w:r>
      <w:r>
        <w:t xml:space="preserve"> </w:t>
      </w:r>
      <w:proofErr w:type="spellStart"/>
      <w:r w:rsidRPr="00EE7907">
        <w:t>viewer.asp</w:t>
      </w:r>
      <w:proofErr w:type="gramStart"/>
      <w:r w:rsidRPr="00EE7907">
        <w:t>?pn</w:t>
      </w:r>
      <w:proofErr w:type="spellEnd"/>
      <w:proofErr w:type="gramEnd"/>
      <w:r w:rsidRPr="00EE7907">
        <w:t>=LNE</w:t>
      </w:r>
      <w:r>
        <w:t xml:space="preserve">95-054&amp;ry=1999&amp;rf=1.  </w:t>
      </w:r>
      <w:proofErr w:type="gramStart"/>
      <w:r>
        <w:t>Accessed Oct 24, 2008.</w:t>
      </w:r>
      <w:proofErr w:type="gramEnd"/>
    </w:p>
    <w:p w:rsidR="009D5E5C" w:rsidRDefault="009E65D0" w:rsidP="009D5E5C">
      <w:pPr>
        <w:pStyle w:val="NoSpacing"/>
        <w:spacing w:line="260" w:lineRule="atLeast"/>
        <w:ind w:left="360" w:hanging="360"/>
      </w:pPr>
      <w:proofErr w:type="gramStart"/>
      <w:r>
        <w:t>Economic Research Service.</w:t>
      </w:r>
      <w:proofErr w:type="gramEnd"/>
      <w:r>
        <w:t xml:space="preserve">  2011</w:t>
      </w:r>
      <w:r w:rsidR="009D5E5C">
        <w:t>.  Fertilizer Prices:  Table 7 – Average U.S. farm prices of se</w:t>
      </w:r>
      <w:bookmarkStart w:id="1" w:name="OLE_LINK1"/>
      <w:r>
        <w:t>lected fertilizers for 1960-2011</w:t>
      </w:r>
      <w:r w:rsidR="009D5E5C">
        <w:t xml:space="preserve">.  </w:t>
      </w:r>
      <w:r w:rsidR="009D5E5C" w:rsidRPr="00F75895">
        <w:t>http://www.ers.usda.gov/Data/FertilizerUse</w:t>
      </w:r>
      <w:bookmarkEnd w:id="1"/>
      <w:r w:rsidR="009D5E5C" w:rsidRPr="00F75895">
        <w:t>/</w:t>
      </w:r>
      <w:r>
        <w:t xml:space="preserve">.  </w:t>
      </w:r>
      <w:proofErr w:type="gramStart"/>
      <w:r>
        <w:t>Accessed July 6, 2011</w:t>
      </w:r>
      <w:r w:rsidR="009D5E5C">
        <w:t>.</w:t>
      </w:r>
      <w:proofErr w:type="gramEnd"/>
    </w:p>
    <w:p w:rsidR="009D5E5C" w:rsidRDefault="009E65D0" w:rsidP="009D5E5C">
      <w:pPr>
        <w:pStyle w:val="NoSpacing"/>
        <w:spacing w:line="260" w:lineRule="atLeast"/>
        <w:ind w:left="360" w:hanging="360"/>
      </w:pPr>
      <w:proofErr w:type="gramStart"/>
      <w:r>
        <w:t>Economic Research Service.</w:t>
      </w:r>
      <w:proofErr w:type="gramEnd"/>
      <w:r>
        <w:t xml:space="preserve">  2011</w:t>
      </w:r>
      <w:r w:rsidR="009D5E5C">
        <w:t xml:space="preserve">.  Feed Grains Database:  Yearbook Tables.  </w:t>
      </w:r>
      <w:r w:rsidR="009D5E5C" w:rsidRPr="001F1D21">
        <w:t>http://www.ers.usda.gov/data/FeedGrainsNEW/yearbook/FGYearbookTables-Recent.pdf</w:t>
      </w:r>
      <w:r w:rsidR="009D5E5C">
        <w:t xml:space="preserve">.  </w:t>
      </w:r>
      <w:proofErr w:type="gramStart"/>
      <w:r w:rsidR="009D5E5C">
        <w:t xml:space="preserve">Accessed </w:t>
      </w:r>
      <w:r>
        <w:t>July 6, 2011</w:t>
      </w:r>
      <w:r w:rsidR="009D5E5C">
        <w:t>.</w:t>
      </w:r>
      <w:proofErr w:type="gramEnd"/>
    </w:p>
    <w:p w:rsidR="009D5E5C" w:rsidRDefault="009D5E5C" w:rsidP="009D5E5C">
      <w:pPr>
        <w:pStyle w:val="NoSpacing"/>
        <w:ind w:left="360" w:hanging="360"/>
      </w:pPr>
      <w:r>
        <w:rPr>
          <w:szCs w:val="24"/>
        </w:rPr>
        <w:t>Kallenbach, R. L.  2002</w:t>
      </w:r>
      <w:r w:rsidRPr="002758BE">
        <w:rPr>
          <w:szCs w:val="24"/>
        </w:rPr>
        <w:t xml:space="preserve">.  </w:t>
      </w:r>
      <w:r w:rsidRPr="002758BE">
        <w:t>Developing Pasture-based Dairy Systems for Family Farms</w:t>
      </w:r>
      <w:r>
        <w:t xml:space="preserve">.  SARE Project number: LNC00-173.  </w:t>
      </w:r>
      <w:r w:rsidRPr="002758BE">
        <w:t>http://www.sare.org/reporting/report_viewer.asp?pn=</w:t>
      </w:r>
      <w:r>
        <w:t xml:space="preserve"> </w:t>
      </w:r>
      <w:r w:rsidRPr="002758BE">
        <w:t>LNC00-173&amp;ry=2002&amp;</w:t>
      </w:r>
      <w:proofErr w:type="gramStart"/>
      <w:r w:rsidRPr="002758BE">
        <w:t>rf=</w:t>
      </w:r>
      <w:proofErr w:type="gramEnd"/>
      <w:r w:rsidRPr="002758BE">
        <w:t>1</w:t>
      </w:r>
      <w:r>
        <w:t xml:space="preserve">.  </w:t>
      </w:r>
      <w:proofErr w:type="gramStart"/>
      <w:r>
        <w:t>Accessed Oct 22, 2008.</w:t>
      </w:r>
      <w:proofErr w:type="gramEnd"/>
    </w:p>
    <w:p w:rsidR="009D5E5C" w:rsidRDefault="009D5E5C" w:rsidP="009D5E5C">
      <w:pPr>
        <w:pStyle w:val="NoSpacing"/>
        <w:ind w:left="360" w:hanging="360"/>
        <w:rPr>
          <w:szCs w:val="24"/>
        </w:rPr>
      </w:pPr>
      <w:r>
        <w:rPr>
          <w:szCs w:val="24"/>
        </w:rPr>
        <w:t xml:space="preserve">Kallenbach, R. L.  2008.  Grazing wedge.  </w:t>
      </w:r>
      <w:proofErr w:type="gramStart"/>
      <w:r>
        <w:rPr>
          <w:szCs w:val="24"/>
        </w:rPr>
        <w:t>University of Missouri Extension.</w:t>
      </w:r>
      <w:proofErr w:type="gramEnd"/>
      <w:r>
        <w:rPr>
          <w:szCs w:val="24"/>
        </w:rPr>
        <w:t xml:space="preserve"> </w:t>
      </w:r>
      <w:r w:rsidRPr="002758BE">
        <w:rPr>
          <w:szCs w:val="24"/>
        </w:rPr>
        <w:t>http://plantsci.missouri.edu/grazingwedge/</w:t>
      </w:r>
      <w:r>
        <w:rPr>
          <w:szCs w:val="24"/>
        </w:rPr>
        <w:t xml:space="preserve">.  </w:t>
      </w:r>
      <w:proofErr w:type="gramStart"/>
      <w:r>
        <w:rPr>
          <w:szCs w:val="24"/>
        </w:rPr>
        <w:t>Accessed Oct 22, 2008.</w:t>
      </w:r>
      <w:proofErr w:type="gramEnd"/>
    </w:p>
    <w:p w:rsidR="00F21EAC" w:rsidRDefault="00F21EAC" w:rsidP="00F21EAC">
      <w:pPr>
        <w:pStyle w:val="NoSpacing"/>
        <w:spacing w:line="260" w:lineRule="atLeast"/>
        <w:ind w:left="360" w:hanging="360"/>
      </w:pPr>
      <w:r>
        <w:t xml:space="preserve">Schroeder, L.  1994.  Farmer-to-Farmer Transfer of Knowledge </w:t>
      </w:r>
      <w:proofErr w:type="gramStart"/>
      <w:r>
        <w:t>About</w:t>
      </w:r>
      <w:proofErr w:type="gramEnd"/>
      <w:r>
        <w:t xml:space="preserve"> Rotational Grazing.  SARE Project number: FS94-015.  </w:t>
      </w:r>
      <w:r w:rsidRPr="00023D6F">
        <w:t>http://www.sare.org/reporting/report_viewer.asp?pn= FS94-015&amp;ry=1994&amp;</w:t>
      </w:r>
      <w:proofErr w:type="gramStart"/>
      <w:r w:rsidRPr="00023D6F">
        <w:t>rf=</w:t>
      </w:r>
      <w:proofErr w:type="gramEnd"/>
      <w:r w:rsidRPr="00023D6F">
        <w:t>0</w:t>
      </w:r>
      <w:r>
        <w:t xml:space="preserve">.  </w:t>
      </w:r>
      <w:proofErr w:type="gramStart"/>
      <w:r>
        <w:t>Accessed Oct 24, 2008.</w:t>
      </w:r>
      <w:proofErr w:type="gramEnd"/>
    </w:p>
    <w:p w:rsidR="009D5E5C" w:rsidRDefault="009D5E5C" w:rsidP="00F21EAC">
      <w:pPr>
        <w:pStyle w:val="NoSpacing"/>
        <w:spacing w:line="260" w:lineRule="atLeast"/>
        <w:ind w:left="360" w:hanging="360"/>
      </w:pPr>
      <w:proofErr w:type="gramStart"/>
      <w:r>
        <w:t>USDA.</w:t>
      </w:r>
      <w:proofErr w:type="gramEnd"/>
      <w:r>
        <w:t xml:space="preserve">  2003.  Agricultural Prices: 2002 Summary.  </w:t>
      </w:r>
      <w:proofErr w:type="gramStart"/>
      <w:r>
        <w:t>National Agricultural Statistics Service.</w:t>
      </w:r>
      <w:proofErr w:type="gramEnd"/>
      <w:r>
        <w:t xml:space="preserve"> </w:t>
      </w:r>
      <w:r w:rsidRPr="00CF56F4">
        <w:t>http://usda.mannlib.cornell.edu/usda/nass/AgriPricSu//2000s/2003/AgriPricSu-07-24-2003.pdf</w:t>
      </w:r>
      <w:r>
        <w:t xml:space="preserve">.  </w:t>
      </w:r>
      <w:proofErr w:type="gramStart"/>
      <w:r>
        <w:t>Accessed Oct. 22, 2008.</w:t>
      </w:r>
      <w:proofErr w:type="gramEnd"/>
    </w:p>
    <w:p w:rsidR="009D5E5C" w:rsidRDefault="009D5E5C" w:rsidP="009D5E5C">
      <w:pPr>
        <w:pStyle w:val="NoSpacing"/>
        <w:spacing w:line="260" w:lineRule="atLeast"/>
        <w:ind w:left="360" w:hanging="360"/>
      </w:pPr>
      <w:proofErr w:type="gramStart"/>
      <w:r>
        <w:t>USDA.</w:t>
      </w:r>
      <w:proofErr w:type="gramEnd"/>
      <w:r>
        <w:t xml:space="preserve">  20</w:t>
      </w:r>
      <w:r w:rsidR="002945CB">
        <w:t>11</w:t>
      </w:r>
      <w:r>
        <w:t xml:space="preserve">.  </w:t>
      </w:r>
      <w:r w:rsidR="002945CB">
        <w:t>Quick Stats</w:t>
      </w:r>
      <w:r>
        <w:t xml:space="preserve">.  </w:t>
      </w:r>
      <w:proofErr w:type="gramStart"/>
      <w:r>
        <w:t>National Agricultural Statistics Service.</w:t>
      </w:r>
      <w:proofErr w:type="gramEnd"/>
      <w:r>
        <w:t xml:space="preserve">   </w:t>
      </w:r>
      <w:hyperlink r:id="rId8" w:history="1">
        <w:r w:rsidR="002945CB" w:rsidRPr="009460C1">
          <w:rPr>
            <w:rStyle w:val="Hyperlink"/>
          </w:rPr>
          <w:t>http://quickstats.nass.usda.gov</w:t>
        </w:r>
      </w:hyperlink>
      <w:r w:rsidR="002945CB">
        <w:t xml:space="preserve">. </w:t>
      </w:r>
      <w:proofErr w:type="gramStart"/>
      <w:r>
        <w:t xml:space="preserve">Accessed </w:t>
      </w:r>
      <w:r w:rsidR="002945CB">
        <w:t xml:space="preserve">July </w:t>
      </w:r>
      <w:r>
        <w:t>6, 20</w:t>
      </w:r>
      <w:r w:rsidR="002945CB">
        <w:t>11</w:t>
      </w:r>
      <w:r>
        <w:t>.</w:t>
      </w:r>
      <w:proofErr w:type="gramEnd"/>
    </w:p>
    <w:p w:rsidR="00983D23" w:rsidRDefault="00983D23" w:rsidP="00983D23">
      <w:pPr>
        <w:pStyle w:val="NoSpacing"/>
        <w:spacing w:line="260" w:lineRule="atLeast"/>
        <w:ind w:left="360" w:hanging="360"/>
      </w:pPr>
      <w:proofErr w:type="gramStart"/>
      <w:r>
        <w:t>Wells, A.</w:t>
      </w:r>
      <w:proofErr w:type="gramEnd"/>
      <w:r>
        <w:t xml:space="preserve">  2004.  Whole Farm Planning for Grass-fed Beef.  SARE Project number: LS00-113.  </w:t>
      </w:r>
      <w:r w:rsidRPr="001E0F51">
        <w:t>http://www.sare.org/reporting/report_viewer.asp?pn=LS00-113&amp;ry=2004&amp;rf=1</w:t>
      </w:r>
      <w:r>
        <w:t xml:space="preserve">.  </w:t>
      </w:r>
      <w:proofErr w:type="gramStart"/>
      <w:r>
        <w:t>Accessed Oct 24, 2008.</w:t>
      </w:r>
      <w:proofErr w:type="gramEnd"/>
    </w:p>
    <w:sectPr w:rsidR="00983D23" w:rsidSect="00410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C5"/>
    <w:rsid w:val="00033A36"/>
    <w:rsid w:val="00067F03"/>
    <w:rsid w:val="000A1F7E"/>
    <w:rsid w:val="000C3CE3"/>
    <w:rsid w:val="000F6C50"/>
    <w:rsid w:val="00160EC5"/>
    <w:rsid w:val="0018190A"/>
    <w:rsid w:val="001F1D21"/>
    <w:rsid w:val="002945CB"/>
    <w:rsid w:val="002D66F7"/>
    <w:rsid w:val="00321C08"/>
    <w:rsid w:val="003C1601"/>
    <w:rsid w:val="0040251E"/>
    <w:rsid w:val="00410F7F"/>
    <w:rsid w:val="00411F98"/>
    <w:rsid w:val="0042653E"/>
    <w:rsid w:val="00480D19"/>
    <w:rsid w:val="004B3C44"/>
    <w:rsid w:val="004F0ABC"/>
    <w:rsid w:val="00570F9B"/>
    <w:rsid w:val="005C09AC"/>
    <w:rsid w:val="006F1B11"/>
    <w:rsid w:val="00737446"/>
    <w:rsid w:val="007B280E"/>
    <w:rsid w:val="007B4601"/>
    <w:rsid w:val="00823D2A"/>
    <w:rsid w:val="0083392C"/>
    <w:rsid w:val="008403C8"/>
    <w:rsid w:val="009745B5"/>
    <w:rsid w:val="00983D23"/>
    <w:rsid w:val="009D5E5C"/>
    <w:rsid w:val="009E65D0"/>
    <w:rsid w:val="00A86DD2"/>
    <w:rsid w:val="00A90CC8"/>
    <w:rsid w:val="00AA6403"/>
    <w:rsid w:val="00B121CA"/>
    <w:rsid w:val="00B54A47"/>
    <w:rsid w:val="00CA6555"/>
    <w:rsid w:val="00D12609"/>
    <w:rsid w:val="00D449E7"/>
    <w:rsid w:val="00D61357"/>
    <w:rsid w:val="00F21EAC"/>
    <w:rsid w:val="00F24FB3"/>
    <w:rsid w:val="00FF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4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A4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8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19"/>
    <w:rPr>
      <w:rFonts w:ascii="Tahoma" w:hAnsi="Tahoma" w:cs="Tahoma"/>
      <w:sz w:val="16"/>
      <w:szCs w:val="16"/>
    </w:rPr>
  </w:style>
  <w:style w:type="paragraph" w:customStyle="1" w:styleId="BodyText1">
    <w:name w:val="Body Text1"/>
    <w:link w:val="BodytextChar"/>
    <w:rsid w:val="0018190A"/>
    <w:pPr>
      <w:spacing w:after="0" w:line="260" w:lineRule="atLeast"/>
      <w:ind w:firstLine="480"/>
    </w:pPr>
    <w:rPr>
      <w:rFonts w:ascii="Garamond" w:eastAsia="Times New Roman" w:hAnsi="Garamond" w:cs="Times New Roman"/>
      <w:snapToGrid w:val="0"/>
      <w:color w:val="000000"/>
      <w:szCs w:val="20"/>
    </w:rPr>
  </w:style>
  <w:style w:type="character" w:customStyle="1" w:styleId="BodytextChar">
    <w:name w:val="Body text Char"/>
    <w:basedOn w:val="DefaultParagraphFont"/>
    <w:link w:val="BodyText1"/>
    <w:rsid w:val="0018190A"/>
    <w:rPr>
      <w:rFonts w:ascii="Garamond" w:eastAsia="Times New Roman" w:hAnsi="Garamond" w:cs="Times New Roman"/>
      <w:snapToGrid w:val="0"/>
      <w:color w:val="000000"/>
      <w:szCs w:val="20"/>
    </w:rPr>
  </w:style>
  <w:style w:type="character" w:styleId="Hyperlink">
    <w:name w:val="Hyperlink"/>
    <w:basedOn w:val="DefaultParagraphFont"/>
    <w:uiPriority w:val="99"/>
    <w:unhideWhenUsed/>
    <w:rsid w:val="008403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4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A4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8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19"/>
    <w:rPr>
      <w:rFonts w:ascii="Tahoma" w:hAnsi="Tahoma" w:cs="Tahoma"/>
      <w:sz w:val="16"/>
      <w:szCs w:val="16"/>
    </w:rPr>
  </w:style>
  <w:style w:type="paragraph" w:customStyle="1" w:styleId="BodyText1">
    <w:name w:val="Body Text1"/>
    <w:link w:val="BodytextChar"/>
    <w:rsid w:val="0018190A"/>
    <w:pPr>
      <w:spacing w:after="0" w:line="260" w:lineRule="atLeast"/>
      <w:ind w:firstLine="480"/>
    </w:pPr>
    <w:rPr>
      <w:rFonts w:ascii="Garamond" w:eastAsia="Times New Roman" w:hAnsi="Garamond" w:cs="Times New Roman"/>
      <w:snapToGrid w:val="0"/>
      <w:color w:val="000000"/>
      <w:szCs w:val="20"/>
    </w:rPr>
  </w:style>
  <w:style w:type="character" w:customStyle="1" w:styleId="BodytextChar">
    <w:name w:val="Body text Char"/>
    <w:basedOn w:val="DefaultParagraphFont"/>
    <w:link w:val="BodyText1"/>
    <w:rsid w:val="0018190A"/>
    <w:rPr>
      <w:rFonts w:ascii="Garamond" w:eastAsia="Times New Roman" w:hAnsi="Garamond" w:cs="Times New Roman"/>
      <w:snapToGrid w:val="0"/>
      <w:color w:val="000000"/>
      <w:szCs w:val="20"/>
    </w:rPr>
  </w:style>
  <w:style w:type="character" w:styleId="Hyperlink">
    <w:name w:val="Hyperlink"/>
    <w:basedOn w:val="DefaultParagraphFont"/>
    <w:uiPriority w:val="99"/>
    <w:unhideWhenUsed/>
    <w:rsid w:val="00840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ickstats.nass.usda.gov" TargetMode="External"/><Relationship Id="rId3" Type="http://schemas.openxmlformats.org/officeDocument/2006/relationships/settings" Target="settings.xml"/><Relationship Id="rId7" Type="http://schemas.openxmlformats.org/officeDocument/2006/relationships/hyperlink" Target="http://grazingbeef.missouri.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sextenj</dc:creator>
  <cp:lastModifiedBy>sextenj</cp:lastModifiedBy>
  <cp:revision>2</cp:revision>
  <dcterms:created xsi:type="dcterms:W3CDTF">2012-02-22T12:57:00Z</dcterms:created>
  <dcterms:modified xsi:type="dcterms:W3CDTF">2012-02-22T12:57:00Z</dcterms:modified>
</cp:coreProperties>
</file>