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BD" w:rsidRPr="009B27A7" w:rsidRDefault="00C475BD" w:rsidP="00BB6EBF">
      <w:pPr>
        <w:spacing w:line="240" w:lineRule="auto"/>
        <w:rPr>
          <w:rFonts w:cs="Times New Roman"/>
          <w:bCs/>
          <w:szCs w:val="18"/>
        </w:rPr>
      </w:pPr>
      <w:bookmarkStart w:id="0" w:name="_Toc385406289"/>
      <w:proofErr w:type="gramStart"/>
      <w:r w:rsidRPr="009B27A7">
        <w:rPr>
          <w:rFonts w:cs="Times New Roman"/>
        </w:rPr>
        <w:t xml:space="preserve">Table </w:t>
      </w:r>
      <w:r w:rsidR="0044527F">
        <w:rPr>
          <w:rFonts w:cs="Times New Roman"/>
        </w:rPr>
        <w:t>1</w:t>
      </w:r>
      <w:r w:rsidRPr="009B27A7">
        <w:rPr>
          <w:rFonts w:cs="Times New Roman"/>
        </w:rPr>
        <w:t>.</w:t>
      </w:r>
      <w:proofErr w:type="gramEnd"/>
      <w:r w:rsidRPr="009B27A7">
        <w:rPr>
          <w:rFonts w:cs="Times New Roman"/>
        </w:rPr>
        <w:t xml:space="preserve"> Estimated percentage of the DM in the A pool (readily digestible portion) for alfalfa, Shiraz grape pomace (SGP), Cabernet Sauvignon grape pomace (CSGP), Parifanka pomegranate husk (PPH) and Desertnyi pomegranate husk (DPH)</w:t>
      </w:r>
      <w:bookmarkEnd w:id="0"/>
    </w:p>
    <w:tbl>
      <w:tblPr>
        <w:tblStyle w:val="LightShading2"/>
        <w:tblpPr w:leftFromText="180" w:rightFromText="180" w:vertAnchor="page" w:horzAnchor="margin" w:tblpY="2536"/>
        <w:tblW w:w="0" w:type="auto"/>
        <w:tblLook w:val="04A0"/>
      </w:tblPr>
      <w:tblGrid>
        <w:gridCol w:w="948"/>
        <w:gridCol w:w="925"/>
        <w:gridCol w:w="925"/>
        <w:gridCol w:w="923"/>
        <w:gridCol w:w="924"/>
        <w:gridCol w:w="924"/>
        <w:gridCol w:w="932"/>
        <w:gridCol w:w="942"/>
        <w:gridCol w:w="1203"/>
        <w:gridCol w:w="930"/>
      </w:tblGrid>
      <w:tr w:rsidR="00B87648" w:rsidRPr="009B27A7" w:rsidTr="00B87648">
        <w:trPr>
          <w:cnfStyle w:val="100000000000"/>
        </w:trPr>
        <w:tc>
          <w:tcPr>
            <w:cnfStyle w:val="001000000000"/>
            <w:tcW w:w="9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rPr>
                <w:rFonts w:cs="Times New Roman"/>
              </w:rPr>
            </w:pPr>
          </w:p>
        </w:tc>
        <w:tc>
          <w:tcPr>
            <w:tcW w:w="46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1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 xml:space="preserve">% Alfalfa </w:t>
            </w:r>
          </w:p>
        </w:tc>
        <w:tc>
          <w:tcPr>
            <w:tcW w:w="932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87648" w:rsidRPr="009B27A7" w:rsidRDefault="00B87648" w:rsidP="00B87648">
            <w:pPr>
              <w:jc w:val="center"/>
              <w:cnfStyle w:val="100000000000"/>
              <w:rPr>
                <w:rFonts w:cs="Times New Roman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7648" w:rsidRPr="009B27A7" w:rsidRDefault="00B87648" w:rsidP="00B87648">
            <w:pPr>
              <w:jc w:val="center"/>
              <w:cnfStyle w:val="100000000000"/>
              <w:rPr>
                <w:rFonts w:cs="Times New Roma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7648" w:rsidRPr="009B27A7" w:rsidRDefault="00B87648" w:rsidP="00B87648">
            <w:pPr>
              <w:jc w:val="center"/>
              <w:cnfStyle w:val="100000000000"/>
              <w:rPr>
                <w:rFonts w:cs="Times New Roman"/>
                <w:vertAlign w:val="superscript"/>
              </w:rPr>
            </w:pPr>
            <w:r w:rsidRPr="009B27A7">
              <w:rPr>
                <w:rFonts w:cs="Times New Roman"/>
              </w:rPr>
              <w:t>Contrast</w:t>
            </w:r>
            <w:r w:rsidRPr="009B27A7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648" w:rsidRPr="009B27A7" w:rsidRDefault="00B87648" w:rsidP="00B87648">
            <w:pPr>
              <w:jc w:val="center"/>
              <w:cnfStyle w:val="100000000000"/>
              <w:rPr>
                <w:rFonts w:cs="Times New Roman"/>
              </w:rPr>
            </w:pPr>
          </w:p>
        </w:tc>
      </w:tr>
      <w:tr w:rsidR="00B87648" w:rsidRPr="009B27A7" w:rsidTr="00B87648">
        <w:trPr>
          <w:cnfStyle w:val="000000100000"/>
        </w:trPr>
        <w:tc>
          <w:tcPr>
            <w:cnfStyle w:val="001000000000"/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648" w:rsidRPr="009B27A7" w:rsidRDefault="00B87648" w:rsidP="00B87648">
            <w:pPr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100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75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50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25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SEM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Linear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Quadratic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Cubic</w:t>
            </w:r>
          </w:p>
        </w:tc>
      </w:tr>
      <w:tr w:rsidR="00B87648" w:rsidRPr="009B27A7" w:rsidTr="00B87648">
        <w:tc>
          <w:tcPr>
            <w:cnfStyle w:val="001000000000"/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SGP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22.1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25.0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24.5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15.2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16.1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3.9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0.11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0.42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0.27</w:t>
            </w:r>
          </w:p>
        </w:tc>
      </w:tr>
      <w:tr w:rsidR="00B87648" w:rsidRPr="009B27A7" w:rsidTr="00B87648">
        <w:trPr>
          <w:cnfStyle w:val="000000100000"/>
        </w:trPr>
        <w:tc>
          <w:tcPr>
            <w:cnfStyle w:val="001000000000"/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CSGP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22.1</w:t>
            </w:r>
          </w:p>
        </w:tc>
        <w:tc>
          <w:tcPr>
            <w:tcW w:w="925" w:type="dxa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19.1</w:t>
            </w:r>
          </w:p>
        </w:tc>
        <w:tc>
          <w:tcPr>
            <w:tcW w:w="923" w:type="dxa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16.5</w:t>
            </w:r>
          </w:p>
        </w:tc>
        <w:tc>
          <w:tcPr>
            <w:tcW w:w="924" w:type="dxa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12.5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16.3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2.6</w:t>
            </w:r>
          </w:p>
        </w:tc>
        <w:tc>
          <w:tcPr>
            <w:tcW w:w="942" w:type="dxa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0.06</w:t>
            </w:r>
          </w:p>
        </w:tc>
        <w:tc>
          <w:tcPr>
            <w:tcW w:w="1203" w:type="dxa"/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0.30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0.36</w:t>
            </w:r>
          </w:p>
        </w:tc>
      </w:tr>
      <w:tr w:rsidR="00B87648" w:rsidRPr="009B27A7" w:rsidTr="00B87648">
        <w:tc>
          <w:tcPr>
            <w:cnfStyle w:val="001000000000"/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PPH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22.1</w:t>
            </w:r>
          </w:p>
        </w:tc>
        <w:tc>
          <w:tcPr>
            <w:tcW w:w="925" w:type="dxa"/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27.3</w:t>
            </w:r>
          </w:p>
        </w:tc>
        <w:tc>
          <w:tcPr>
            <w:tcW w:w="923" w:type="dxa"/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36.6</w:t>
            </w:r>
          </w:p>
        </w:tc>
        <w:tc>
          <w:tcPr>
            <w:tcW w:w="924" w:type="dxa"/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40.1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43.2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2.2</w:t>
            </w:r>
          </w:p>
        </w:tc>
        <w:tc>
          <w:tcPr>
            <w:tcW w:w="942" w:type="dxa"/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&lt;0.01</w:t>
            </w:r>
          </w:p>
        </w:tc>
        <w:tc>
          <w:tcPr>
            <w:tcW w:w="1203" w:type="dxa"/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0.26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0.53</w:t>
            </w:r>
          </w:p>
        </w:tc>
      </w:tr>
      <w:tr w:rsidR="00B87648" w:rsidRPr="009B27A7" w:rsidTr="00B87648">
        <w:trPr>
          <w:cnfStyle w:val="000000100000"/>
        </w:trPr>
        <w:tc>
          <w:tcPr>
            <w:cnfStyle w:val="001000000000"/>
            <w:tcW w:w="948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DPH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8" w:space="0" w:color="000000" w:themeColor="text1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22.1</w:t>
            </w:r>
          </w:p>
        </w:tc>
        <w:tc>
          <w:tcPr>
            <w:tcW w:w="925" w:type="dxa"/>
            <w:tcBorders>
              <w:bottom w:val="single" w:sz="8" w:space="0" w:color="000000" w:themeColor="text1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27.7</w:t>
            </w:r>
          </w:p>
        </w:tc>
        <w:tc>
          <w:tcPr>
            <w:tcW w:w="923" w:type="dxa"/>
            <w:tcBorders>
              <w:bottom w:val="single" w:sz="8" w:space="0" w:color="000000" w:themeColor="text1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26.9</w:t>
            </w:r>
          </w:p>
        </w:tc>
        <w:tc>
          <w:tcPr>
            <w:tcW w:w="924" w:type="dxa"/>
            <w:tcBorders>
              <w:bottom w:val="single" w:sz="8" w:space="0" w:color="000000" w:themeColor="text1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45.7</w:t>
            </w:r>
          </w:p>
        </w:tc>
        <w:tc>
          <w:tcPr>
            <w:tcW w:w="924" w:type="dxa"/>
            <w:tcBorders>
              <w:bottom w:val="single" w:sz="8" w:space="0" w:color="000000" w:themeColor="text1"/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47.5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8" w:space="0" w:color="000000" w:themeColor="text1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5.6</w:t>
            </w:r>
          </w:p>
        </w:tc>
        <w:tc>
          <w:tcPr>
            <w:tcW w:w="942" w:type="dxa"/>
            <w:tcBorders>
              <w:bottom w:val="single" w:sz="8" w:space="0" w:color="000000" w:themeColor="text1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0.02</w:t>
            </w:r>
          </w:p>
        </w:tc>
        <w:tc>
          <w:tcPr>
            <w:tcW w:w="1203" w:type="dxa"/>
            <w:tcBorders>
              <w:bottom w:val="single" w:sz="8" w:space="0" w:color="000000" w:themeColor="text1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0.62</w:t>
            </w:r>
          </w:p>
        </w:tc>
        <w:tc>
          <w:tcPr>
            <w:tcW w:w="930" w:type="dxa"/>
            <w:tcBorders>
              <w:bottom w:val="single" w:sz="8" w:space="0" w:color="000000" w:themeColor="text1"/>
              <w:right w:val="single" w:sz="4" w:space="0" w:color="auto"/>
            </w:tcBorders>
          </w:tcPr>
          <w:p w:rsidR="00B87648" w:rsidRPr="009B27A7" w:rsidRDefault="00B87648" w:rsidP="00B87648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0.56</w:t>
            </w:r>
          </w:p>
        </w:tc>
      </w:tr>
    </w:tbl>
    <w:p w:rsidR="00C475BD" w:rsidRPr="009B27A7" w:rsidRDefault="00C475BD" w:rsidP="00EC4F9C">
      <w:pPr>
        <w:pStyle w:val="Caption"/>
        <w:rPr>
          <w:rFonts w:cs="Times New Roman"/>
          <w:sz w:val="22"/>
          <w:szCs w:val="22"/>
        </w:rPr>
      </w:pPr>
      <w:r w:rsidRPr="009B27A7">
        <w:rPr>
          <w:rFonts w:cs="Times New Roman"/>
          <w:vertAlign w:val="superscript"/>
        </w:rPr>
        <w:t xml:space="preserve">1 </w:t>
      </w:r>
      <w:r w:rsidRPr="009B27A7">
        <w:rPr>
          <w:rFonts w:cs="Times New Roman"/>
          <w:sz w:val="22"/>
          <w:szCs w:val="22"/>
        </w:rPr>
        <w:t xml:space="preserve">Contrast significant at </w:t>
      </w:r>
      <w:r w:rsidRPr="009B27A7">
        <w:rPr>
          <w:rFonts w:cs="Times New Roman"/>
          <w:i/>
          <w:sz w:val="22"/>
          <w:szCs w:val="22"/>
        </w:rPr>
        <w:t>P</w:t>
      </w:r>
      <w:r w:rsidRPr="009B27A7">
        <w:rPr>
          <w:rFonts w:cs="Times New Roman"/>
          <w:sz w:val="22"/>
          <w:szCs w:val="22"/>
        </w:rPr>
        <w:t xml:space="preserve"> &lt; 0.05 </w:t>
      </w:r>
    </w:p>
    <w:p w:rsidR="00C475BD" w:rsidRPr="009B27A7" w:rsidRDefault="00C475BD" w:rsidP="00EC4F9C">
      <w:pPr>
        <w:pStyle w:val="Caption"/>
        <w:rPr>
          <w:rFonts w:cs="Times New Roman"/>
        </w:rPr>
      </w:pPr>
    </w:p>
    <w:p w:rsidR="00C475BD" w:rsidRPr="0044527F" w:rsidRDefault="00C475BD" w:rsidP="0044527F">
      <w:pPr>
        <w:spacing w:line="240" w:lineRule="auto"/>
        <w:rPr>
          <w:rFonts w:cs="Times New Roman"/>
          <w:bCs/>
          <w:szCs w:val="18"/>
        </w:rPr>
      </w:pPr>
      <w:bookmarkStart w:id="1" w:name="_Toc385406290"/>
      <w:proofErr w:type="gramStart"/>
      <w:r w:rsidRPr="009B27A7">
        <w:rPr>
          <w:rFonts w:cs="Times New Roman"/>
        </w:rPr>
        <w:t xml:space="preserve">Table </w:t>
      </w:r>
      <w:r w:rsidR="0044527F">
        <w:rPr>
          <w:rFonts w:cs="Times New Roman"/>
        </w:rPr>
        <w:t>2</w:t>
      </w:r>
      <w:r w:rsidRPr="009B27A7">
        <w:rPr>
          <w:rFonts w:cs="Times New Roman"/>
        </w:rPr>
        <w:t>.</w:t>
      </w:r>
      <w:proofErr w:type="gramEnd"/>
      <w:r w:rsidRPr="009B27A7">
        <w:rPr>
          <w:rFonts w:cs="Times New Roman"/>
        </w:rPr>
        <w:t xml:space="preserve"> Estimated percentage of the DM in the B pool (potentially digestible portion) for alfalfa, Shiraz grape pomace (SGP), Cabernet Sauvignon grape pomace (CSGP), Parifanka pomegranate husk (PPH) and Desertnyi pomegranate husk (DPH)</w:t>
      </w:r>
      <w:bookmarkEnd w:id="1"/>
    </w:p>
    <w:tbl>
      <w:tblPr>
        <w:tblStyle w:val="LightShading2"/>
        <w:tblW w:w="0" w:type="auto"/>
        <w:tblLook w:val="04A0"/>
      </w:tblPr>
      <w:tblGrid>
        <w:gridCol w:w="930"/>
        <w:gridCol w:w="874"/>
        <w:gridCol w:w="874"/>
        <w:gridCol w:w="874"/>
        <w:gridCol w:w="875"/>
        <w:gridCol w:w="875"/>
        <w:gridCol w:w="894"/>
        <w:gridCol w:w="910"/>
        <w:gridCol w:w="1163"/>
        <w:gridCol w:w="875"/>
      </w:tblGrid>
      <w:tr w:rsidR="00C475BD" w:rsidRPr="009B27A7" w:rsidTr="009B27A7">
        <w:trPr>
          <w:cnfStyle w:val="100000000000"/>
        </w:trPr>
        <w:tc>
          <w:tcPr>
            <w:cnfStyle w:val="001000000000"/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</w:p>
        </w:tc>
        <w:tc>
          <w:tcPr>
            <w:tcW w:w="437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% Alfalfa</w:t>
            </w:r>
          </w:p>
        </w:tc>
        <w:tc>
          <w:tcPr>
            <w:tcW w:w="894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</w:rPr>
            </w:pPr>
          </w:p>
        </w:tc>
        <w:tc>
          <w:tcPr>
            <w:tcW w:w="26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  <w:vertAlign w:val="superscript"/>
              </w:rPr>
            </w:pPr>
            <w:r w:rsidRPr="009B27A7">
              <w:rPr>
                <w:rFonts w:cs="Times New Roman"/>
              </w:rPr>
              <w:t>Contrast</w:t>
            </w:r>
            <w:r w:rsidRPr="009B27A7">
              <w:rPr>
                <w:rFonts w:cs="Times New Roman"/>
                <w:vertAlign w:val="superscript"/>
              </w:rPr>
              <w:t>1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100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75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50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25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SEM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Linear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Quadratic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Cubic</w:t>
            </w:r>
          </w:p>
        </w:tc>
      </w:tr>
      <w:tr w:rsidR="00C475BD" w:rsidRPr="009B27A7" w:rsidTr="009B27A7">
        <w:tc>
          <w:tcPr>
            <w:cnfStyle w:val="001000000000"/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SGP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37.3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23.0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18.4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27.5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9.4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4.9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0.75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0.04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CSGP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37.3</w:t>
            </w:r>
          </w:p>
        </w:tc>
        <w:tc>
          <w:tcPr>
            <w:tcW w:w="874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26.4</w:t>
            </w:r>
          </w:p>
        </w:tc>
        <w:tc>
          <w:tcPr>
            <w:tcW w:w="874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26.7</w:t>
            </w:r>
          </w:p>
        </w:tc>
        <w:tc>
          <w:tcPr>
            <w:tcW w:w="875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24.2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10.6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3.9</w:t>
            </w:r>
          </w:p>
        </w:tc>
        <w:tc>
          <w:tcPr>
            <w:tcW w:w="910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&lt;0.01</w:t>
            </w:r>
          </w:p>
        </w:tc>
        <w:tc>
          <w:tcPr>
            <w:tcW w:w="875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0.62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0.10</w:t>
            </w:r>
          </w:p>
        </w:tc>
      </w:tr>
      <w:tr w:rsidR="00C475BD" w:rsidRPr="009B27A7" w:rsidTr="009B27A7">
        <w:tc>
          <w:tcPr>
            <w:cnfStyle w:val="001000000000"/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PPH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37.3</w:t>
            </w:r>
          </w:p>
        </w:tc>
        <w:tc>
          <w:tcPr>
            <w:tcW w:w="874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27.7</w:t>
            </w:r>
          </w:p>
        </w:tc>
        <w:tc>
          <w:tcPr>
            <w:tcW w:w="874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31.3</w:t>
            </w:r>
          </w:p>
        </w:tc>
        <w:tc>
          <w:tcPr>
            <w:tcW w:w="875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31.4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17.6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6.1</w:t>
            </w:r>
          </w:p>
        </w:tc>
        <w:tc>
          <w:tcPr>
            <w:tcW w:w="910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0.12</w:t>
            </w:r>
          </w:p>
        </w:tc>
        <w:tc>
          <w:tcPr>
            <w:tcW w:w="875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0.62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0.20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0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DPH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37.3</w:t>
            </w:r>
          </w:p>
        </w:tc>
        <w:tc>
          <w:tcPr>
            <w:tcW w:w="874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21.6</w:t>
            </w:r>
          </w:p>
        </w:tc>
        <w:tc>
          <w:tcPr>
            <w:tcW w:w="874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21.4</w:t>
            </w:r>
          </w:p>
        </w:tc>
        <w:tc>
          <w:tcPr>
            <w:tcW w:w="875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20.4</w:t>
            </w:r>
          </w:p>
        </w:tc>
        <w:tc>
          <w:tcPr>
            <w:tcW w:w="875" w:type="dxa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13.7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4.6</w:t>
            </w:r>
          </w:p>
        </w:tc>
        <w:tc>
          <w:tcPr>
            <w:tcW w:w="910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0.03</w:t>
            </w:r>
          </w:p>
        </w:tc>
        <w:tc>
          <w:tcPr>
            <w:tcW w:w="875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0.39</w:t>
            </w:r>
          </w:p>
        </w:tc>
        <w:tc>
          <w:tcPr>
            <w:tcW w:w="875" w:type="dxa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0.19</w:t>
            </w:r>
          </w:p>
        </w:tc>
      </w:tr>
    </w:tbl>
    <w:p w:rsidR="00C475BD" w:rsidRPr="009B27A7" w:rsidRDefault="00C475BD" w:rsidP="00EC4F9C">
      <w:pPr>
        <w:pStyle w:val="Caption"/>
        <w:rPr>
          <w:rFonts w:cs="Times New Roman"/>
        </w:rPr>
      </w:pPr>
      <w:r w:rsidRPr="009B27A7">
        <w:rPr>
          <w:rFonts w:cs="Times New Roman"/>
          <w:vertAlign w:val="superscript"/>
        </w:rPr>
        <w:t xml:space="preserve">1 </w:t>
      </w:r>
      <w:r w:rsidRPr="009B27A7">
        <w:rPr>
          <w:rFonts w:cs="Times New Roman"/>
          <w:sz w:val="22"/>
          <w:szCs w:val="22"/>
        </w:rPr>
        <w:t xml:space="preserve">Contrast significant at </w:t>
      </w:r>
      <w:r w:rsidRPr="009B27A7">
        <w:rPr>
          <w:rFonts w:cs="Times New Roman"/>
          <w:i/>
          <w:sz w:val="22"/>
          <w:szCs w:val="22"/>
        </w:rPr>
        <w:t>P</w:t>
      </w:r>
      <w:r w:rsidRPr="009B27A7">
        <w:rPr>
          <w:rFonts w:cs="Times New Roman"/>
          <w:sz w:val="22"/>
          <w:szCs w:val="22"/>
        </w:rPr>
        <w:t xml:space="preserve"> &lt; 0.05</w:t>
      </w:r>
    </w:p>
    <w:p w:rsidR="0044527F" w:rsidRDefault="0044527F" w:rsidP="00EC4F9C">
      <w:pPr>
        <w:pStyle w:val="Caption"/>
        <w:rPr>
          <w:rFonts w:cs="Times New Roman"/>
        </w:rPr>
      </w:pPr>
      <w:bookmarkStart w:id="2" w:name="_Toc385406291"/>
    </w:p>
    <w:p w:rsidR="00C475BD" w:rsidRPr="009B27A7" w:rsidRDefault="00C475BD" w:rsidP="00EC4F9C">
      <w:pPr>
        <w:pStyle w:val="Caption"/>
        <w:rPr>
          <w:rFonts w:cs="Times New Roman"/>
        </w:rPr>
      </w:pPr>
      <w:proofErr w:type="gramStart"/>
      <w:r w:rsidRPr="009B27A7">
        <w:rPr>
          <w:rFonts w:cs="Times New Roman"/>
        </w:rPr>
        <w:t xml:space="preserve">Table </w:t>
      </w:r>
      <w:r w:rsidR="0044527F">
        <w:rPr>
          <w:rFonts w:cs="Times New Roman"/>
        </w:rPr>
        <w:t>3</w:t>
      </w:r>
      <w:r w:rsidRPr="009B27A7">
        <w:rPr>
          <w:rFonts w:cs="Times New Roman"/>
        </w:rPr>
        <w:t>.</w:t>
      </w:r>
      <w:proofErr w:type="gramEnd"/>
      <w:r w:rsidRPr="009B27A7">
        <w:rPr>
          <w:rFonts w:cs="Times New Roman"/>
        </w:rPr>
        <w:t xml:space="preserve"> Estimated percentage of the DM in the C pool (potentially indigestible portion) for alfalfa, Shiraz grape pomace (SGP), Cabernet Sauvignon grape pomace (CSGP), Parifanka pomegranate husk (PPH) and Desertnyi pomegranate husk (DPH)</w:t>
      </w:r>
      <w:bookmarkEnd w:id="2"/>
    </w:p>
    <w:tbl>
      <w:tblPr>
        <w:tblStyle w:val="LightShading2"/>
        <w:tblW w:w="0" w:type="auto"/>
        <w:tblLook w:val="04A0"/>
      </w:tblPr>
      <w:tblGrid>
        <w:gridCol w:w="930"/>
        <w:gridCol w:w="874"/>
        <w:gridCol w:w="874"/>
        <w:gridCol w:w="874"/>
        <w:gridCol w:w="875"/>
        <w:gridCol w:w="875"/>
        <w:gridCol w:w="894"/>
        <w:gridCol w:w="910"/>
        <w:gridCol w:w="1163"/>
        <w:gridCol w:w="875"/>
      </w:tblGrid>
      <w:tr w:rsidR="00C475BD" w:rsidRPr="009B27A7" w:rsidTr="009B27A7">
        <w:trPr>
          <w:cnfStyle w:val="100000000000"/>
        </w:trPr>
        <w:tc>
          <w:tcPr>
            <w:cnfStyle w:val="001000000000"/>
            <w:tcW w:w="9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</w:p>
        </w:tc>
        <w:tc>
          <w:tcPr>
            <w:tcW w:w="437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% Alfalfa</w:t>
            </w:r>
          </w:p>
        </w:tc>
        <w:tc>
          <w:tcPr>
            <w:tcW w:w="894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</w:rPr>
            </w:pPr>
          </w:p>
        </w:tc>
        <w:tc>
          <w:tcPr>
            <w:tcW w:w="26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  <w:vertAlign w:val="superscript"/>
              </w:rPr>
            </w:pPr>
            <w:r w:rsidRPr="009B27A7">
              <w:rPr>
                <w:rFonts w:cs="Times New Roman"/>
              </w:rPr>
              <w:t>Contrast</w:t>
            </w:r>
            <w:r w:rsidRPr="009B27A7">
              <w:rPr>
                <w:rFonts w:cs="Times New Roman"/>
                <w:vertAlign w:val="superscript"/>
              </w:rPr>
              <w:t>1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100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75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50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25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SEM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Linear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Quadratic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Cubic</w:t>
            </w:r>
          </w:p>
        </w:tc>
      </w:tr>
      <w:tr w:rsidR="00C475BD" w:rsidRPr="009B27A7" w:rsidTr="009B27A7">
        <w:tc>
          <w:tcPr>
            <w:cnfStyle w:val="001000000000"/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SGP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40.6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51.9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57.1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57.3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74.5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5.2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&lt;0.01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0.74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0.17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CSGP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40.6</w:t>
            </w:r>
          </w:p>
        </w:tc>
        <w:tc>
          <w:tcPr>
            <w:tcW w:w="874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54.5</w:t>
            </w:r>
          </w:p>
        </w:tc>
        <w:tc>
          <w:tcPr>
            <w:tcW w:w="874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56.8</w:t>
            </w:r>
          </w:p>
        </w:tc>
        <w:tc>
          <w:tcPr>
            <w:tcW w:w="875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63.3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73.1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4.1</w:t>
            </w:r>
          </w:p>
        </w:tc>
        <w:tc>
          <w:tcPr>
            <w:tcW w:w="910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&lt;0.01</w:t>
            </w:r>
          </w:p>
        </w:tc>
        <w:tc>
          <w:tcPr>
            <w:tcW w:w="875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0.82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0.25</w:t>
            </w:r>
          </w:p>
        </w:tc>
      </w:tr>
      <w:tr w:rsidR="00C475BD" w:rsidRPr="009B27A7" w:rsidTr="009B27A7">
        <w:tc>
          <w:tcPr>
            <w:cnfStyle w:val="001000000000"/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PPH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40.6</w:t>
            </w:r>
          </w:p>
        </w:tc>
        <w:tc>
          <w:tcPr>
            <w:tcW w:w="874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45.1</w:t>
            </w:r>
          </w:p>
        </w:tc>
        <w:tc>
          <w:tcPr>
            <w:tcW w:w="874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32.1</w:t>
            </w:r>
          </w:p>
        </w:tc>
        <w:tc>
          <w:tcPr>
            <w:tcW w:w="875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28.5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39.3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7.2</w:t>
            </w:r>
          </w:p>
        </w:tc>
        <w:tc>
          <w:tcPr>
            <w:tcW w:w="910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0.45</w:t>
            </w:r>
          </w:p>
        </w:tc>
        <w:tc>
          <w:tcPr>
            <w:tcW w:w="875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0.45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0.21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0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DPH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40.6</w:t>
            </w:r>
          </w:p>
        </w:tc>
        <w:tc>
          <w:tcPr>
            <w:tcW w:w="874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50.7</w:t>
            </w:r>
          </w:p>
        </w:tc>
        <w:tc>
          <w:tcPr>
            <w:tcW w:w="874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51.7</w:t>
            </w:r>
          </w:p>
        </w:tc>
        <w:tc>
          <w:tcPr>
            <w:tcW w:w="875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33.9</w:t>
            </w:r>
          </w:p>
        </w:tc>
        <w:tc>
          <w:tcPr>
            <w:tcW w:w="875" w:type="dxa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38.8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3.6</w:t>
            </w:r>
          </w:p>
        </w:tc>
        <w:tc>
          <w:tcPr>
            <w:tcW w:w="910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0.17</w:t>
            </w:r>
          </w:p>
        </w:tc>
        <w:tc>
          <w:tcPr>
            <w:tcW w:w="875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0.10</w:t>
            </w:r>
          </w:p>
        </w:tc>
        <w:tc>
          <w:tcPr>
            <w:tcW w:w="875" w:type="dxa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0.03</w:t>
            </w:r>
          </w:p>
        </w:tc>
      </w:tr>
    </w:tbl>
    <w:p w:rsidR="00C475BD" w:rsidRPr="009B27A7" w:rsidRDefault="00C475BD" w:rsidP="00EC4F9C">
      <w:pPr>
        <w:pStyle w:val="Caption"/>
        <w:rPr>
          <w:rFonts w:cs="Times New Roman"/>
        </w:rPr>
      </w:pPr>
      <w:r w:rsidRPr="009B27A7">
        <w:rPr>
          <w:rFonts w:cs="Times New Roman"/>
          <w:vertAlign w:val="superscript"/>
        </w:rPr>
        <w:t xml:space="preserve">1 </w:t>
      </w:r>
      <w:r w:rsidRPr="009B27A7">
        <w:rPr>
          <w:rFonts w:cs="Times New Roman"/>
          <w:sz w:val="22"/>
          <w:szCs w:val="22"/>
        </w:rPr>
        <w:t xml:space="preserve">Contrast significant at </w:t>
      </w:r>
      <w:r w:rsidRPr="009B27A7">
        <w:rPr>
          <w:rFonts w:cs="Times New Roman"/>
          <w:i/>
          <w:sz w:val="22"/>
          <w:szCs w:val="22"/>
        </w:rPr>
        <w:t>P</w:t>
      </w:r>
      <w:r w:rsidRPr="009B27A7">
        <w:rPr>
          <w:rFonts w:cs="Times New Roman"/>
          <w:sz w:val="22"/>
          <w:szCs w:val="22"/>
        </w:rPr>
        <w:t xml:space="preserve"> &lt; 0.05</w:t>
      </w:r>
    </w:p>
    <w:p w:rsidR="00C475BD" w:rsidRPr="009B27A7" w:rsidRDefault="00C475BD" w:rsidP="00EC4F9C">
      <w:pPr>
        <w:pStyle w:val="Caption"/>
        <w:rPr>
          <w:rFonts w:cs="Times New Roman"/>
        </w:rPr>
      </w:pPr>
    </w:p>
    <w:p w:rsidR="00C475BD" w:rsidRPr="009B27A7" w:rsidRDefault="00C475BD" w:rsidP="00EC4F9C">
      <w:pPr>
        <w:pStyle w:val="Caption"/>
        <w:rPr>
          <w:rFonts w:cs="Times New Roman"/>
        </w:rPr>
      </w:pPr>
      <w:bookmarkStart w:id="3" w:name="_Toc385406292"/>
      <w:proofErr w:type="gramStart"/>
      <w:r w:rsidRPr="009B27A7">
        <w:rPr>
          <w:rFonts w:cs="Times New Roman"/>
        </w:rPr>
        <w:t xml:space="preserve">Table </w:t>
      </w:r>
      <w:r w:rsidR="0044527F">
        <w:rPr>
          <w:rFonts w:cs="Times New Roman"/>
        </w:rPr>
        <w:t>4</w:t>
      </w:r>
      <w:r w:rsidRPr="009B27A7">
        <w:rPr>
          <w:rFonts w:cs="Times New Roman"/>
        </w:rPr>
        <w:t>.</w:t>
      </w:r>
      <w:proofErr w:type="gramEnd"/>
      <w:r w:rsidRPr="009B27A7">
        <w:rPr>
          <w:rFonts w:cs="Times New Roman"/>
        </w:rPr>
        <w:t xml:space="preserve"> Estimation of k (%/h, rate of degradation) for alfalfa, Shiraz grape pomace (SGP), Cabernet Sauvignon grape pomace (CSGP), Parifanka pomegranate husk (PPH) and Desertnyi pomegranate husk (DPH)</w:t>
      </w:r>
      <w:bookmarkEnd w:id="3"/>
    </w:p>
    <w:tbl>
      <w:tblPr>
        <w:tblStyle w:val="LightShading2"/>
        <w:tblW w:w="0" w:type="auto"/>
        <w:tblLook w:val="04A0"/>
      </w:tblPr>
      <w:tblGrid>
        <w:gridCol w:w="935"/>
        <w:gridCol w:w="872"/>
        <w:gridCol w:w="885"/>
        <w:gridCol w:w="885"/>
        <w:gridCol w:w="859"/>
        <w:gridCol w:w="859"/>
        <w:gridCol w:w="903"/>
        <w:gridCol w:w="886"/>
        <w:gridCol w:w="1163"/>
        <w:gridCol w:w="886"/>
      </w:tblGrid>
      <w:tr w:rsidR="00C475BD" w:rsidRPr="009B27A7" w:rsidTr="009B27A7">
        <w:trPr>
          <w:cnfStyle w:val="100000000000"/>
        </w:trPr>
        <w:tc>
          <w:tcPr>
            <w:cnfStyle w:val="001000000000"/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</w:p>
        </w:tc>
        <w:tc>
          <w:tcPr>
            <w:tcW w:w="436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% Alfalfa</w:t>
            </w:r>
          </w:p>
        </w:tc>
        <w:tc>
          <w:tcPr>
            <w:tcW w:w="903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</w:rPr>
            </w:pPr>
          </w:p>
        </w:tc>
        <w:tc>
          <w:tcPr>
            <w:tcW w:w="26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  <w:vertAlign w:val="superscript"/>
              </w:rPr>
            </w:pPr>
            <w:r w:rsidRPr="009B27A7">
              <w:rPr>
                <w:rFonts w:cs="Times New Roman"/>
              </w:rPr>
              <w:t>Contrast</w:t>
            </w:r>
            <w:r w:rsidRPr="009B27A7">
              <w:rPr>
                <w:rFonts w:cs="Times New Roman"/>
                <w:vertAlign w:val="superscript"/>
              </w:rPr>
              <w:t>1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100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75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50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25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SEM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Linear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Quadratic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Cubic</w:t>
            </w:r>
          </w:p>
        </w:tc>
      </w:tr>
      <w:tr w:rsidR="00C475BD" w:rsidRPr="009B27A7" w:rsidTr="009B27A7">
        <w:tc>
          <w:tcPr>
            <w:cnfStyle w:val="001000000000"/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SGP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4.3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6.3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4.2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3.6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2.0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0.84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0.97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0.34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CSGP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4.3</w:t>
            </w:r>
          </w:p>
        </w:tc>
        <w:tc>
          <w:tcPr>
            <w:tcW w:w="885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16.8</w:t>
            </w:r>
          </w:p>
        </w:tc>
        <w:tc>
          <w:tcPr>
            <w:tcW w:w="885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6.0</w:t>
            </w:r>
          </w:p>
        </w:tc>
        <w:tc>
          <w:tcPr>
            <w:tcW w:w="859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3.5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4.9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3.6</w:t>
            </w:r>
          </w:p>
        </w:tc>
        <w:tc>
          <w:tcPr>
            <w:tcW w:w="886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0.31</w:t>
            </w:r>
          </w:p>
        </w:tc>
        <w:tc>
          <w:tcPr>
            <w:tcW w:w="886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0.38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0.04</w:t>
            </w:r>
          </w:p>
        </w:tc>
      </w:tr>
      <w:tr w:rsidR="00C475BD" w:rsidRPr="009B27A7" w:rsidTr="009B27A7">
        <w:tc>
          <w:tcPr>
            <w:cnfStyle w:val="001000000000"/>
            <w:tcW w:w="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PPH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4.3</w:t>
            </w:r>
          </w:p>
        </w:tc>
        <w:tc>
          <w:tcPr>
            <w:tcW w:w="885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14.5</w:t>
            </w:r>
          </w:p>
        </w:tc>
        <w:tc>
          <w:tcPr>
            <w:tcW w:w="885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1.5</w:t>
            </w:r>
          </w:p>
        </w:tc>
        <w:tc>
          <w:tcPr>
            <w:tcW w:w="859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2.3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3.4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2.8</w:t>
            </w:r>
          </w:p>
        </w:tc>
        <w:tc>
          <w:tcPr>
            <w:tcW w:w="886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0.19</w:t>
            </w:r>
          </w:p>
        </w:tc>
        <w:tc>
          <w:tcPr>
            <w:tcW w:w="886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0.70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0.04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5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DPH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4.3</w:t>
            </w:r>
          </w:p>
        </w:tc>
        <w:tc>
          <w:tcPr>
            <w:tcW w:w="885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22.0</w:t>
            </w:r>
          </w:p>
        </w:tc>
        <w:tc>
          <w:tcPr>
            <w:tcW w:w="885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10.8</w:t>
            </w:r>
          </w:p>
        </w:tc>
        <w:tc>
          <w:tcPr>
            <w:tcW w:w="859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1.7</w:t>
            </w:r>
          </w:p>
        </w:tc>
        <w:tc>
          <w:tcPr>
            <w:tcW w:w="859" w:type="dxa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6.5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5.8</w:t>
            </w:r>
          </w:p>
        </w:tc>
        <w:tc>
          <w:tcPr>
            <w:tcW w:w="886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0.48</w:t>
            </w:r>
          </w:p>
        </w:tc>
        <w:tc>
          <w:tcPr>
            <w:tcW w:w="886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0.36</w:t>
            </w:r>
          </w:p>
        </w:tc>
        <w:tc>
          <w:tcPr>
            <w:tcW w:w="886" w:type="dxa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0.06</w:t>
            </w:r>
          </w:p>
        </w:tc>
      </w:tr>
    </w:tbl>
    <w:p w:rsidR="00C475BD" w:rsidRPr="009B27A7" w:rsidRDefault="00C475BD" w:rsidP="00EC4F9C">
      <w:pPr>
        <w:pStyle w:val="Caption"/>
        <w:rPr>
          <w:rFonts w:cs="Times New Roman"/>
        </w:rPr>
      </w:pPr>
      <w:r w:rsidRPr="009B27A7">
        <w:rPr>
          <w:rFonts w:cs="Times New Roman"/>
          <w:vertAlign w:val="superscript"/>
        </w:rPr>
        <w:t xml:space="preserve">1 </w:t>
      </w:r>
      <w:r w:rsidRPr="009B27A7">
        <w:rPr>
          <w:rFonts w:cs="Times New Roman"/>
          <w:sz w:val="22"/>
          <w:szCs w:val="22"/>
        </w:rPr>
        <w:t xml:space="preserve">Contrast significant at </w:t>
      </w:r>
      <w:r w:rsidRPr="009B27A7">
        <w:rPr>
          <w:rFonts w:cs="Times New Roman"/>
          <w:i/>
          <w:sz w:val="22"/>
          <w:szCs w:val="22"/>
        </w:rPr>
        <w:t>P</w:t>
      </w:r>
      <w:r w:rsidRPr="009B27A7">
        <w:rPr>
          <w:rFonts w:cs="Times New Roman"/>
          <w:sz w:val="22"/>
          <w:szCs w:val="22"/>
        </w:rPr>
        <w:t xml:space="preserve"> &lt; 0.05</w:t>
      </w:r>
    </w:p>
    <w:p w:rsidR="00C475BD" w:rsidRPr="009B27A7" w:rsidRDefault="00C475BD" w:rsidP="00EC4F9C">
      <w:pPr>
        <w:pStyle w:val="Caption"/>
        <w:rPr>
          <w:rFonts w:cs="Times New Roman"/>
        </w:rPr>
      </w:pPr>
    </w:p>
    <w:p w:rsidR="00C475BD" w:rsidRPr="009B27A7" w:rsidRDefault="00C475BD" w:rsidP="00EC4F9C">
      <w:pPr>
        <w:pStyle w:val="Caption"/>
        <w:rPr>
          <w:rFonts w:cs="Times New Roman"/>
        </w:rPr>
      </w:pPr>
      <w:bookmarkStart w:id="4" w:name="_Toc385406293"/>
      <w:proofErr w:type="gramStart"/>
      <w:r w:rsidRPr="009B27A7">
        <w:rPr>
          <w:rFonts w:cs="Times New Roman"/>
        </w:rPr>
        <w:lastRenderedPageBreak/>
        <w:t xml:space="preserve">Table </w:t>
      </w:r>
      <w:r w:rsidR="0044527F">
        <w:rPr>
          <w:rFonts w:cs="Times New Roman"/>
        </w:rPr>
        <w:t>5</w:t>
      </w:r>
      <w:r w:rsidRPr="009B27A7">
        <w:rPr>
          <w:rFonts w:cs="Times New Roman"/>
        </w:rPr>
        <w:t>.</w:t>
      </w:r>
      <w:proofErr w:type="gramEnd"/>
      <w:r w:rsidRPr="009B27A7">
        <w:rPr>
          <w:rFonts w:cs="Times New Roman"/>
        </w:rPr>
        <w:t xml:space="preserve"> Estimation for the effective digestibility for alfalfa, Shiraz grape pomace (SGP), Cabernet Sauvignon grape pomace (CSGP), Parifanka pomegranate husk (PPH) and Desertnyi pomegranate husk (DPH)</w:t>
      </w:r>
      <w:bookmarkEnd w:id="4"/>
    </w:p>
    <w:tbl>
      <w:tblPr>
        <w:tblStyle w:val="LightShading2"/>
        <w:tblW w:w="0" w:type="auto"/>
        <w:tblLook w:val="04A0"/>
      </w:tblPr>
      <w:tblGrid>
        <w:gridCol w:w="931"/>
        <w:gridCol w:w="877"/>
        <w:gridCol w:w="878"/>
        <w:gridCol w:w="878"/>
        <w:gridCol w:w="879"/>
        <w:gridCol w:w="879"/>
        <w:gridCol w:w="897"/>
        <w:gridCol w:w="879"/>
        <w:gridCol w:w="1163"/>
        <w:gridCol w:w="879"/>
      </w:tblGrid>
      <w:tr w:rsidR="00C475BD" w:rsidRPr="009B27A7" w:rsidTr="009B27A7">
        <w:trPr>
          <w:cnfStyle w:val="100000000000"/>
        </w:trPr>
        <w:tc>
          <w:tcPr>
            <w:cnfStyle w:val="001000000000"/>
            <w:tcW w:w="93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</w:p>
        </w:tc>
        <w:tc>
          <w:tcPr>
            <w:tcW w:w="439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% Alfalfa</w:t>
            </w:r>
          </w:p>
        </w:tc>
        <w:tc>
          <w:tcPr>
            <w:tcW w:w="897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</w:rPr>
            </w:pPr>
          </w:p>
        </w:tc>
        <w:tc>
          <w:tcPr>
            <w:tcW w:w="263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  <w:vertAlign w:val="superscript"/>
              </w:rPr>
            </w:pPr>
            <w:r w:rsidRPr="009B27A7">
              <w:rPr>
                <w:rFonts w:cs="Times New Roman"/>
              </w:rPr>
              <w:t>Contrast</w:t>
            </w:r>
            <w:r w:rsidRPr="009B27A7">
              <w:rPr>
                <w:rFonts w:cs="Times New Roman"/>
                <w:vertAlign w:val="superscript"/>
              </w:rPr>
              <w:t>1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100</w:t>
            </w:r>
          </w:p>
        </w:tc>
        <w:tc>
          <w:tcPr>
            <w:tcW w:w="8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75</w:t>
            </w:r>
          </w:p>
        </w:tc>
        <w:tc>
          <w:tcPr>
            <w:tcW w:w="8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50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25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SEM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Linear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Quadratic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Cubic</w:t>
            </w:r>
          </w:p>
        </w:tc>
      </w:tr>
      <w:tr w:rsidR="00C475BD" w:rsidRPr="009B27A7" w:rsidTr="009B27A7">
        <w:tc>
          <w:tcPr>
            <w:cnfStyle w:val="001000000000"/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SGP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43.6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35.9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35.7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34.0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20.5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7.5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0.07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0.66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0.41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CSGP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43.6</w:t>
            </w:r>
          </w:p>
        </w:tc>
        <w:tc>
          <w:tcPr>
            <w:tcW w:w="878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25.8</w:t>
            </w:r>
          </w:p>
        </w:tc>
        <w:tc>
          <w:tcPr>
            <w:tcW w:w="878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28.6</w:t>
            </w:r>
          </w:p>
        </w:tc>
        <w:tc>
          <w:tcPr>
            <w:tcW w:w="879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27.0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21.3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5.2</w:t>
            </w:r>
          </w:p>
        </w:tc>
        <w:tc>
          <w:tcPr>
            <w:tcW w:w="879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0.04</w:t>
            </w:r>
          </w:p>
        </w:tc>
        <w:tc>
          <w:tcPr>
            <w:tcW w:w="879" w:type="dxa"/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0.39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0.15</w:t>
            </w:r>
          </w:p>
        </w:tc>
      </w:tr>
      <w:tr w:rsidR="00C475BD" w:rsidRPr="009B27A7" w:rsidTr="009B27A7">
        <w:tc>
          <w:tcPr>
            <w:cnfStyle w:val="001000000000"/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PPH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43.6</w:t>
            </w:r>
          </w:p>
        </w:tc>
        <w:tc>
          <w:tcPr>
            <w:tcW w:w="878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35.8</w:t>
            </w:r>
          </w:p>
        </w:tc>
        <w:tc>
          <w:tcPr>
            <w:tcW w:w="878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60.9</w:t>
            </w:r>
          </w:p>
        </w:tc>
        <w:tc>
          <w:tcPr>
            <w:tcW w:w="879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64.0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53.7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8.3</w:t>
            </w:r>
          </w:p>
        </w:tc>
        <w:tc>
          <w:tcPr>
            <w:tcW w:w="879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0.12</w:t>
            </w:r>
          </w:p>
        </w:tc>
        <w:tc>
          <w:tcPr>
            <w:tcW w:w="879" w:type="dxa"/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0.42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0.12</w:t>
            </w:r>
          </w:p>
        </w:tc>
      </w:tr>
      <w:tr w:rsidR="00C475BD" w:rsidRPr="009B27A7" w:rsidTr="009B27A7">
        <w:trPr>
          <w:cnfStyle w:val="000000100000"/>
        </w:trPr>
        <w:tc>
          <w:tcPr>
            <w:cnfStyle w:val="001000000000"/>
            <w:tcW w:w="931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rPr>
                <w:rFonts w:cs="Times New Roman"/>
              </w:rPr>
            </w:pPr>
            <w:r w:rsidRPr="009B27A7">
              <w:rPr>
                <w:rFonts w:cs="Times New Roman"/>
              </w:rPr>
              <w:t>DPH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43.6</w:t>
            </w:r>
          </w:p>
        </w:tc>
        <w:tc>
          <w:tcPr>
            <w:tcW w:w="878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32.8</w:t>
            </w:r>
          </w:p>
        </w:tc>
        <w:tc>
          <w:tcPr>
            <w:tcW w:w="878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33.7</w:t>
            </w:r>
          </w:p>
        </w:tc>
        <w:tc>
          <w:tcPr>
            <w:tcW w:w="879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60.9</w:t>
            </w:r>
          </w:p>
        </w:tc>
        <w:tc>
          <w:tcPr>
            <w:tcW w:w="879" w:type="dxa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53.5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6.6</w:t>
            </w:r>
          </w:p>
        </w:tc>
        <w:tc>
          <w:tcPr>
            <w:tcW w:w="879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0.09</w:t>
            </w:r>
          </w:p>
        </w:tc>
        <w:tc>
          <w:tcPr>
            <w:tcW w:w="879" w:type="dxa"/>
            <w:tcBorders>
              <w:bottom w:val="single" w:sz="8" w:space="0" w:color="000000" w:themeColor="text1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0.27</w:t>
            </w:r>
          </w:p>
        </w:tc>
        <w:tc>
          <w:tcPr>
            <w:tcW w:w="879" w:type="dxa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</w:rPr>
            </w:pPr>
            <w:r w:rsidRPr="009B27A7">
              <w:rPr>
                <w:rFonts w:cs="Times New Roman"/>
              </w:rPr>
              <w:t>0.06</w:t>
            </w:r>
          </w:p>
        </w:tc>
      </w:tr>
    </w:tbl>
    <w:p w:rsidR="00C475BD" w:rsidRPr="009B27A7" w:rsidRDefault="00C475BD" w:rsidP="00EC4F9C">
      <w:pPr>
        <w:pStyle w:val="Caption"/>
        <w:rPr>
          <w:rFonts w:cs="Times New Roman"/>
        </w:rPr>
      </w:pPr>
      <w:r w:rsidRPr="009B27A7">
        <w:rPr>
          <w:rFonts w:cs="Times New Roman"/>
          <w:vertAlign w:val="superscript"/>
        </w:rPr>
        <w:t xml:space="preserve">1 </w:t>
      </w:r>
      <w:r w:rsidRPr="009B27A7">
        <w:rPr>
          <w:rFonts w:cs="Times New Roman"/>
          <w:sz w:val="22"/>
          <w:szCs w:val="22"/>
        </w:rPr>
        <w:t xml:space="preserve">Contrast significant at </w:t>
      </w:r>
      <w:r w:rsidRPr="009B27A7">
        <w:rPr>
          <w:rFonts w:cs="Times New Roman"/>
          <w:i/>
          <w:sz w:val="22"/>
          <w:szCs w:val="22"/>
        </w:rPr>
        <w:t>P</w:t>
      </w:r>
      <w:r w:rsidRPr="009B27A7">
        <w:rPr>
          <w:rFonts w:cs="Times New Roman"/>
          <w:sz w:val="22"/>
          <w:szCs w:val="22"/>
        </w:rPr>
        <w:t xml:space="preserve"> &lt; 0.05</w:t>
      </w:r>
    </w:p>
    <w:p w:rsidR="00C475BD" w:rsidRPr="009B27A7" w:rsidRDefault="00C475BD" w:rsidP="00EC4F9C">
      <w:pPr>
        <w:pStyle w:val="Caption"/>
        <w:rPr>
          <w:rFonts w:cs="Times New Roman"/>
        </w:rPr>
      </w:pPr>
      <w:r w:rsidRPr="009B27A7">
        <w:rPr>
          <w:rFonts w:cs="Times New Roman"/>
        </w:rPr>
        <w:t xml:space="preserve"> </w:t>
      </w:r>
    </w:p>
    <w:p w:rsidR="00C475BD" w:rsidRPr="009B27A7" w:rsidRDefault="00C475BD" w:rsidP="00EC4F9C">
      <w:pPr>
        <w:pStyle w:val="Caption"/>
        <w:rPr>
          <w:rFonts w:cs="Times New Roman"/>
          <w:i/>
        </w:rPr>
      </w:pPr>
      <w:bookmarkStart w:id="5" w:name="_Toc385406294"/>
      <w:proofErr w:type="gramStart"/>
      <w:r w:rsidRPr="009B27A7">
        <w:rPr>
          <w:rFonts w:cs="Times New Roman"/>
        </w:rPr>
        <w:t xml:space="preserve">Table </w:t>
      </w:r>
      <w:r w:rsidR="0044527F">
        <w:rPr>
          <w:rFonts w:cs="Times New Roman"/>
        </w:rPr>
        <w:t>6</w:t>
      </w:r>
      <w:r w:rsidRPr="009B27A7">
        <w:rPr>
          <w:rFonts w:cs="Times New Roman"/>
        </w:rPr>
        <w:t>.</w:t>
      </w:r>
      <w:proofErr w:type="gramEnd"/>
      <w:r w:rsidRPr="009B27A7">
        <w:rPr>
          <w:rFonts w:cs="Times New Roman"/>
        </w:rPr>
        <w:t xml:space="preserve"> Effect of grape pomace and pomegranate husk extracts on activity (% active) of L</w:t>
      </w:r>
      <w:r w:rsidRPr="009B27A7">
        <w:rPr>
          <w:rFonts w:cs="Times New Roman"/>
          <w:vertAlign w:val="subscript"/>
        </w:rPr>
        <w:t>3</w:t>
      </w:r>
      <w:r w:rsidRPr="009B27A7">
        <w:rPr>
          <w:rFonts w:cs="Times New Roman"/>
        </w:rPr>
        <w:t xml:space="preserve"> </w:t>
      </w:r>
      <w:r w:rsidRPr="009B27A7">
        <w:rPr>
          <w:rFonts w:cs="Times New Roman"/>
          <w:i/>
        </w:rPr>
        <w:t xml:space="preserve">O. </w:t>
      </w:r>
      <w:proofErr w:type="spellStart"/>
      <w:r w:rsidRPr="009B27A7">
        <w:rPr>
          <w:rFonts w:cs="Times New Roman"/>
          <w:i/>
        </w:rPr>
        <w:t>ostetagia</w:t>
      </w:r>
      <w:bookmarkEnd w:id="5"/>
      <w:proofErr w:type="spellEnd"/>
    </w:p>
    <w:tbl>
      <w:tblPr>
        <w:tblStyle w:val="LightShading1"/>
        <w:tblW w:w="8702" w:type="dxa"/>
        <w:tblLook w:val="04A0"/>
      </w:tblPr>
      <w:tblGrid>
        <w:gridCol w:w="2437"/>
        <w:gridCol w:w="1630"/>
        <w:gridCol w:w="1588"/>
        <w:gridCol w:w="1579"/>
        <w:gridCol w:w="1468"/>
      </w:tblGrid>
      <w:tr w:rsidR="00C475BD" w:rsidRPr="0044527F" w:rsidTr="009B27A7">
        <w:trPr>
          <w:cnfStyle w:val="100000000000"/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Extract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6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Active (%)</w:t>
            </w:r>
          </w:p>
        </w:tc>
      </w:tr>
      <w:tr w:rsidR="00C475BD" w:rsidRPr="0044527F" w:rsidTr="009B27A7">
        <w:trPr>
          <w:cnfStyle w:val="000000100000"/>
          <w:trHeight w:val="300"/>
        </w:trPr>
        <w:tc>
          <w:tcPr>
            <w:cnfStyle w:val="001000000000"/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(mg/mL)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h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h</w:t>
            </w:r>
          </w:p>
        </w:tc>
        <w:tc>
          <w:tcPr>
            <w:tcW w:w="1579" w:type="dxa"/>
            <w:tcBorders>
              <w:top w:val="nil"/>
              <w:bottom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h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h </w:t>
            </w:r>
          </w:p>
        </w:tc>
      </w:tr>
      <w:tr w:rsidR="00C475BD" w:rsidRPr="0044527F" w:rsidTr="009B27A7">
        <w:trPr>
          <w:trHeight w:val="300"/>
        </w:trPr>
        <w:tc>
          <w:tcPr>
            <w:cnfStyle w:val="001000000000"/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Control, PBS (+)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74.3±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a,b,c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noWrap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65.9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79" w:type="dxa"/>
            <w:tcBorders>
              <w:top w:val="single" w:sz="4" w:space="0" w:color="auto"/>
              <w:bottom w:val="nil"/>
            </w:tcBorders>
            <w:noWrap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64.7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68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57.7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C475BD" w:rsidRPr="0044527F" w:rsidTr="009B27A7">
        <w:trPr>
          <w:cnfStyle w:val="000000100000"/>
          <w:trHeight w:val="300"/>
        </w:trPr>
        <w:tc>
          <w:tcPr>
            <w:cnfStyle w:val="001000000000"/>
            <w:tcW w:w="243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Shiraz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5BD" w:rsidRPr="0044527F" w:rsidTr="009B27A7">
        <w:trPr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6.25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69.2 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54.8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38.2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35.3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475BD" w:rsidRPr="0044527F" w:rsidTr="009B27A7">
        <w:trPr>
          <w:cnfStyle w:val="000000100000"/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12.5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75.9 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56.5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38.5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34.5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475BD" w:rsidRPr="0044527F" w:rsidTr="009B27A7">
        <w:trPr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Cabernet Sauvignon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5BD" w:rsidRPr="0044527F" w:rsidTr="009B27A7">
        <w:trPr>
          <w:cnfStyle w:val="000000100000"/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6.25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76.7 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b,c</w:t>
            </w: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37.3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475BD" w:rsidRPr="0044527F" w:rsidTr="009B27A7">
        <w:trPr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12.5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73.5 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45.9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35.4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475BD" w:rsidRPr="0044527F" w:rsidTr="009B27A7">
        <w:trPr>
          <w:cnfStyle w:val="000000100000"/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Wonderful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5BD" w:rsidRPr="0044527F" w:rsidTr="009B27A7">
        <w:trPr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12.5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 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a,c</w:t>
            </w: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c,d</w:t>
            </w: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27.8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475BD" w:rsidRPr="0044527F" w:rsidTr="009B27A7">
        <w:trPr>
          <w:cnfStyle w:val="000000100000"/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25.0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68.0 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a,c</w:t>
            </w: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32.6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C475BD" w:rsidRPr="0044527F" w:rsidTr="009B27A7">
        <w:trPr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50.0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 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a,c</w:t>
            </w: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29.7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C475BD" w:rsidRPr="0044527F" w:rsidTr="009B27A7">
        <w:trPr>
          <w:cnfStyle w:val="000000100000"/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Sogidana</w:t>
            </w:r>
            <w:proofErr w:type="spellEnd"/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5BD" w:rsidRPr="0044527F" w:rsidTr="009B27A7">
        <w:trPr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12.5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68.5 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8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c,e</w:t>
            </w:r>
          </w:p>
        </w:tc>
        <w:tc>
          <w:tcPr>
            <w:tcW w:w="1579" w:type="dxa"/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27.8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noWrap/>
            <w:hideMark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36.8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475BD" w:rsidRPr="0044527F" w:rsidTr="009B27A7">
        <w:trPr>
          <w:cnfStyle w:val="000000100000"/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25.0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 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a,c</w:t>
            </w:r>
          </w:p>
        </w:tc>
        <w:tc>
          <w:tcPr>
            <w:tcW w:w="1588" w:type="dxa"/>
            <w:noWrap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c,e</w:t>
            </w:r>
          </w:p>
        </w:tc>
        <w:tc>
          <w:tcPr>
            <w:tcW w:w="1579" w:type="dxa"/>
            <w:noWrap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c,d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noWrap/>
          </w:tcPr>
          <w:p w:rsidR="00C475BD" w:rsidRPr="0044527F" w:rsidRDefault="00C475BD" w:rsidP="00EC4F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475BD" w:rsidRPr="0044527F" w:rsidTr="009B27A7">
        <w:trPr>
          <w:trHeight w:val="300"/>
        </w:trPr>
        <w:tc>
          <w:tcPr>
            <w:cnfStyle w:val="001000000000"/>
            <w:tcW w:w="243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475BD" w:rsidRPr="0044527F" w:rsidRDefault="00C475BD" w:rsidP="00EC4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50.0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noWrap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63.2 ± 0.02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588" w:type="dxa"/>
            <w:noWrap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79" w:type="dxa"/>
            <w:noWrap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 ± 0.03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noWrap/>
          </w:tcPr>
          <w:p w:rsidR="00C475BD" w:rsidRPr="0044527F" w:rsidRDefault="00C475BD" w:rsidP="00EC4F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 ± 0.04</w:t>
            </w:r>
            <w:r w:rsidRPr="0044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</w:tbl>
    <w:p w:rsidR="00C475BD" w:rsidRPr="009B27A7" w:rsidRDefault="00C475BD" w:rsidP="00EC4F9C">
      <w:pPr>
        <w:spacing w:line="240" w:lineRule="auto"/>
        <w:rPr>
          <w:rFonts w:cs="Times New Roman"/>
          <w:sz w:val="20"/>
          <w:szCs w:val="20"/>
        </w:rPr>
      </w:pPr>
      <w:r w:rsidRPr="009B27A7">
        <w:rPr>
          <w:rFonts w:cs="Times New Roman"/>
          <w:sz w:val="20"/>
          <w:szCs w:val="20"/>
          <w:vertAlign w:val="superscript"/>
        </w:rPr>
        <w:t>1</w:t>
      </w:r>
      <w:r w:rsidRPr="009B27A7">
        <w:rPr>
          <w:rFonts w:cs="Times New Roman"/>
          <w:sz w:val="20"/>
          <w:szCs w:val="20"/>
        </w:rPr>
        <w:t xml:space="preserve">Shiraz and Cabernet </w:t>
      </w:r>
      <w:proofErr w:type="gramStart"/>
      <w:r w:rsidRPr="009B27A7">
        <w:rPr>
          <w:rFonts w:cs="Times New Roman"/>
          <w:sz w:val="20"/>
          <w:szCs w:val="20"/>
        </w:rPr>
        <w:t>Sauvignon  –</w:t>
      </w:r>
      <w:proofErr w:type="gramEnd"/>
      <w:r w:rsidRPr="009B27A7">
        <w:rPr>
          <w:rFonts w:cs="Times New Roman"/>
          <w:sz w:val="20"/>
          <w:szCs w:val="20"/>
        </w:rPr>
        <w:t xml:space="preserve"> Grape pomace extracts, Wonderful and </w:t>
      </w:r>
      <w:proofErr w:type="spellStart"/>
      <w:r w:rsidRPr="009B27A7">
        <w:rPr>
          <w:rFonts w:cs="Times New Roman"/>
          <w:sz w:val="20"/>
          <w:szCs w:val="20"/>
        </w:rPr>
        <w:t>Sogidana</w:t>
      </w:r>
      <w:proofErr w:type="spellEnd"/>
      <w:r w:rsidRPr="009B27A7">
        <w:rPr>
          <w:rFonts w:cs="Times New Roman"/>
          <w:sz w:val="20"/>
          <w:szCs w:val="20"/>
        </w:rPr>
        <w:t xml:space="preserve"> – Pomegranate husk extracts</w:t>
      </w:r>
    </w:p>
    <w:p w:rsidR="00C475BD" w:rsidRPr="009B27A7" w:rsidRDefault="00C475BD" w:rsidP="00EC4F9C">
      <w:pPr>
        <w:spacing w:line="240" w:lineRule="auto"/>
        <w:rPr>
          <w:rFonts w:cs="Times New Roman"/>
          <w:sz w:val="20"/>
          <w:szCs w:val="20"/>
        </w:rPr>
      </w:pPr>
      <w:r w:rsidRPr="009B27A7">
        <w:rPr>
          <w:rFonts w:cs="Times New Roman"/>
          <w:sz w:val="20"/>
          <w:szCs w:val="20"/>
        </w:rPr>
        <w:t xml:space="preserve"> </w:t>
      </w:r>
      <w:proofErr w:type="gramStart"/>
      <w:r w:rsidRPr="009B27A7">
        <w:rPr>
          <w:rFonts w:cs="Times New Roman"/>
          <w:sz w:val="20"/>
          <w:szCs w:val="20"/>
          <w:vertAlign w:val="superscript"/>
        </w:rPr>
        <w:t>2</w:t>
      </w:r>
      <w:r w:rsidRPr="009B27A7">
        <w:rPr>
          <w:rFonts w:cs="Times New Roman"/>
          <w:sz w:val="20"/>
          <w:szCs w:val="20"/>
        </w:rPr>
        <w:t>PBS(</w:t>
      </w:r>
      <w:proofErr w:type="gramEnd"/>
      <w:r w:rsidRPr="009B27A7">
        <w:rPr>
          <w:rFonts w:cs="Times New Roman"/>
          <w:sz w:val="20"/>
          <w:szCs w:val="20"/>
        </w:rPr>
        <w:t xml:space="preserve">+) – Phosphate Buffered Saline, 0.05 M </w:t>
      </w:r>
      <w:proofErr w:type="spellStart"/>
      <w:r w:rsidRPr="009B27A7">
        <w:rPr>
          <w:rFonts w:cs="Times New Roman"/>
          <w:sz w:val="20"/>
          <w:szCs w:val="20"/>
        </w:rPr>
        <w:t>NaCl</w:t>
      </w:r>
      <w:proofErr w:type="spellEnd"/>
      <w:r w:rsidRPr="009B27A7">
        <w:rPr>
          <w:rFonts w:cs="Times New Roman"/>
          <w:sz w:val="20"/>
          <w:szCs w:val="20"/>
        </w:rPr>
        <w:t>, and 5% DMSO to increase solubility of dried extracts</w:t>
      </w:r>
    </w:p>
    <w:p w:rsidR="00C475BD" w:rsidRPr="009B27A7" w:rsidRDefault="00C475BD" w:rsidP="00EC4F9C">
      <w:pPr>
        <w:spacing w:line="240" w:lineRule="auto"/>
        <w:rPr>
          <w:rFonts w:cs="Times New Roman"/>
          <w:sz w:val="20"/>
          <w:szCs w:val="20"/>
        </w:rPr>
      </w:pPr>
      <w:proofErr w:type="spellStart"/>
      <w:proofErr w:type="gramStart"/>
      <w:r w:rsidRPr="009B27A7">
        <w:rPr>
          <w:rFonts w:cs="Times New Roman"/>
          <w:sz w:val="20"/>
          <w:szCs w:val="20"/>
          <w:vertAlign w:val="superscript"/>
        </w:rPr>
        <w:t>abcde</w:t>
      </w:r>
      <w:proofErr w:type="spellEnd"/>
      <w:proofErr w:type="gramEnd"/>
      <w:r w:rsidRPr="009B27A7">
        <w:rPr>
          <w:rFonts w:cs="Times New Roman"/>
          <w:sz w:val="20"/>
          <w:szCs w:val="20"/>
        </w:rPr>
        <w:t xml:space="preserve"> Means within a column with unlike superscripts are different (</w:t>
      </w:r>
      <w:r w:rsidRPr="009B27A7">
        <w:rPr>
          <w:rFonts w:cs="Times New Roman"/>
          <w:i/>
          <w:sz w:val="20"/>
          <w:szCs w:val="20"/>
        </w:rPr>
        <w:t>P</w:t>
      </w:r>
      <w:r w:rsidRPr="009B27A7">
        <w:rPr>
          <w:rFonts w:cs="Times New Roman"/>
          <w:sz w:val="20"/>
          <w:szCs w:val="20"/>
        </w:rPr>
        <w:t>&lt;0.05)</w:t>
      </w:r>
    </w:p>
    <w:p w:rsidR="00C475BD" w:rsidRPr="009B27A7" w:rsidRDefault="00C475BD" w:rsidP="00EC4F9C">
      <w:pPr>
        <w:spacing w:line="240" w:lineRule="auto"/>
        <w:rPr>
          <w:rFonts w:cs="Times New Roman"/>
        </w:rPr>
      </w:pPr>
    </w:p>
    <w:p w:rsidR="00B87648" w:rsidRDefault="00B87648">
      <w:pPr>
        <w:rPr>
          <w:rFonts w:cs="Times New Roman"/>
        </w:rPr>
      </w:pPr>
      <w:bookmarkStart w:id="6" w:name="_Toc385406295"/>
      <w:r>
        <w:rPr>
          <w:rFonts w:cs="Times New Roman"/>
        </w:rPr>
        <w:br w:type="page"/>
      </w:r>
    </w:p>
    <w:p w:rsidR="00C475BD" w:rsidRPr="009B27A7" w:rsidRDefault="00C475BD" w:rsidP="00EC4F9C">
      <w:pPr>
        <w:spacing w:line="240" w:lineRule="auto"/>
        <w:rPr>
          <w:rFonts w:cs="Times New Roman"/>
          <w:i/>
        </w:rPr>
      </w:pPr>
      <w:proofErr w:type="gramStart"/>
      <w:r w:rsidRPr="009B27A7">
        <w:rPr>
          <w:rFonts w:cs="Times New Roman"/>
        </w:rPr>
        <w:lastRenderedPageBreak/>
        <w:t xml:space="preserve">Table </w:t>
      </w:r>
      <w:r w:rsidR="0044527F">
        <w:rPr>
          <w:rFonts w:cs="Times New Roman"/>
        </w:rPr>
        <w:t>7</w:t>
      </w:r>
      <w:r w:rsidRPr="009B27A7">
        <w:rPr>
          <w:rFonts w:cs="Times New Roman"/>
        </w:rPr>
        <w:t>.</w:t>
      </w:r>
      <w:proofErr w:type="gramEnd"/>
      <w:r w:rsidRPr="009B27A7">
        <w:rPr>
          <w:rFonts w:cs="Times New Roman"/>
        </w:rPr>
        <w:t xml:space="preserve"> Effects of pomegranate husk extracts on activity of adult </w:t>
      </w:r>
      <w:r w:rsidRPr="009B27A7">
        <w:rPr>
          <w:rFonts w:cs="Times New Roman"/>
          <w:i/>
        </w:rPr>
        <w:t>N. brasiliensis</w:t>
      </w:r>
      <w:bookmarkEnd w:id="6"/>
    </w:p>
    <w:tbl>
      <w:tblPr>
        <w:tblStyle w:val="LightShading2"/>
        <w:tblW w:w="0" w:type="auto"/>
        <w:jc w:val="center"/>
        <w:tblLook w:val="04A0"/>
      </w:tblPr>
      <w:tblGrid>
        <w:gridCol w:w="2076"/>
        <w:gridCol w:w="1190"/>
        <w:gridCol w:w="1360"/>
      </w:tblGrid>
      <w:tr w:rsidR="00C475BD" w:rsidRPr="009B27A7" w:rsidTr="009B27A7">
        <w:trPr>
          <w:cnfStyle w:val="100000000000"/>
          <w:jc w:val="center"/>
        </w:trPr>
        <w:tc>
          <w:tcPr>
            <w:cnfStyle w:val="001000000000"/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both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>Extract (mg/mL)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  <w:szCs w:val="24"/>
                <w:vertAlign w:val="superscript"/>
              </w:rPr>
            </w:pPr>
            <w:r w:rsidRPr="009B27A7">
              <w:rPr>
                <w:rFonts w:cs="Times New Roman"/>
                <w:szCs w:val="24"/>
              </w:rPr>
              <w:t>Activity</w:t>
            </w:r>
            <w:r w:rsidRPr="009B27A7">
              <w:rPr>
                <w:rFonts w:cs="Times New Roman"/>
                <w:szCs w:val="24"/>
                <w:vertAlign w:val="superscript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100000000000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>SEM</w:t>
            </w:r>
          </w:p>
        </w:tc>
      </w:tr>
      <w:tr w:rsidR="00C475BD" w:rsidRPr="009B27A7" w:rsidTr="009B27A7">
        <w:trPr>
          <w:cnfStyle w:val="000000100000"/>
          <w:jc w:val="center"/>
        </w:trPr>
        <w:tc>
          <w:tcPr>
            <w:cnfStyle w:val="001000000000"/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both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>Control</w:t>
            </w:r>
            <w:r w:rsidRPr="009B27A7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  <w:szCs w:val="24"/>
                <w:vertAlign w:val="superscript"/>
              </w:rPr>
            </w:pPr>
            <w:r w:rsidRPr="009B27A7">
              <w:rPr>
                <w:rFonts w:cs="Times New Roman"/>
                <w:szCs w:val="24"/>
              </w:rPr>
              <w:t>61.9</w:t>
            </w:r>
            <w:r w:rsidRPr="009B27A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>4.0</w:t>
            </w:r>
          </w:p>
        </w:tc>
      </w:tr>
      <w:tr w:rsidR="00C475BD" w:rsidRPr="009B27A7" w:rsidTr="009B27A7">
        <w:trPr>
          <w:jc w:val="center"/>
        </w:trPr>
        <w:tc>
          <w:tcPr>
            <w:cnfStyle w:val="001000000000"/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both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>Wonderful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  <w:szCs w:val="24"/>
              </w:rPr>
            </w:pPr>
          </w:p>
        </w:tc>
      </w:tr>
      <w:tr w:rsidR="00C475BD" w:rsidRPr="009B27A7" w:rsidTr="009B27A7">
        <w:trPr>
          <w:cnfStyle w:val="000000100000"/>
          <w:jc w:val="center"/>
        </w:trPr>
        <w:tc>
          <w:tcPr>
            <w:cnfStyle w:val="001000000000"/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both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 xml:space="preserve">    15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  <w:szCs w:val="24"/>
                <w:vertAlign w:val="superscript"/>
              </w:rPr>
            </w:pPr>
            <w:r w:rsidRPr="009B27A7">
              <w:rPr>
                <w:rFonts w:cs="Times New Roman"/>
                <w:szCs w:val="24"/>
              </w:rPr>
              <w:t>14.4</w:t>
            </w:r>
            <w:r w:rsidRPr="009B27A7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>4.0</w:t>
            </w:r>
          </w:p>
        </w:tc>
      </w:tr>
      <w:tr w:rsidR="00C475BD" w:rsidRPr="009B27A7" w:rsidTr="009B27A7">
        <w:trPr>
          <w:jc w:val="center"/>
        </w:trPr>
        <w:tc>
          <w:tcPr>
            <w:cnfStyle w:val="001000000000"/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both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 xml:space="preserve">    30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  <w:szCs w:val="24"/>
                <w:vertAlign w:val="superscript"/>
              </w:rPr>
            </w:pPr>
            <w:r w:rsidRPr="009B27A7">
              <w:rPr>
                <w:rFonts w:cs="Times New Roman"/>
                <w:szCs w:val="24"/>
              </w:rPr>
              <w:t>13.6</w:t>
            </w:r>
            <w:r w:rsidRPr="009B27A7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>4.0</w:t>
            </w:r>
          </w:p>
        </w:tc>
      </w:tr>
      <w:tr w:rsidR="00C475BD" w:rsidRPr="009B27A7" w:rsidTr="009B27A7">
        <w:trPr>
          <w:cnfStyle w:val="000000100000"/>
          <w:jc w:val="center"/>
        </w:trPr>
        <w:tc>
          <w:tcPr>
            <w:cnfStyle w:val="001000000000"/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9B27A7">
              <w:rPr>
                <w:rFonts w:cs="Times New Roman"/>
                <w:szCs w:val="24"/>
              </w:rPr>
              <w:t>Sogidana</w:t>
            </w:r>
            <w:proofErr w:type="spellEnd"/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  <w:szCs w:val="24"/>
              </w:rPr>
            </w:pPr>
          </w:p>
        </w:tc>
      </w:tr>
      <w:tr w:rsidR="00C475BD" w:rsidRPr="009B27A7" w:rsidTr="009B27A7">
        <w:trPr>
          <w:jc w:val="center"/>
        </w:trPr>
        <w:tc>
          <w:tcPr>
            <w:cnfStyle w:val="001000000000"/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both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 xml:space="preserve">    15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  <w:szCs w:val="24"/>
                <w:vertAlign w:val="superscript"/>
              </w:rPr>
            </w:pPr>
            <w:r w:rsidRPr="009B27A7">
              <w:rPr>
                <w:rFonts w:cs="Times New Roman"/>
                <w:szCs w:val="24"/>
              </w:rPr>
              <w:t>5.5</w:t>
            </w:r>
            <w:r w:rsidRPr="009B27A7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>4.0</w:t>
            </w:r>
          </w:p>
        </w:tc>
      </w:tr>
      <w:tr w:rsidR="00C475BD" w:rsidRPr="009B27A7" w:rsidTr="009B27A7">
        <w:trPr>
          <w:cnfStyle w:val="000000100000"/>
          <w:jc w:val="center"/>
        </w:trPr>
        <w:tc>
          <w:tcPr>
            <w:cnfStyle w:val="001000000000"/>
            <w:tcW w:w="2076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475BD" w:rsidRPr="009B27A7" w:rsidRDefault="00C475BD" w:rsidP="00EC4F9C">
            <w:pPr>
              <w:jc w:val="both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 xml:space="preserve">    30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  <w:szCs w:val="24"/>
                <w:vertAlign w:val="superscript"/>
              </w:rPr>
            </w:pPr>
            <w:r w:rsidRPr="009B27A7">
              <w:rPr>
                <w:rFonts w:cs="Times New Roman"/>
                <w:szCs w:val="24"/>
              </w:rPr>
              <w:t>11.6</w:t>
            </w:r>
            <w:r w:rsidRPr="009B27A7"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475BD" w:rsidRPr="009B27A7" w:rsidRDefault="00C475BD" w:rsidP="00EC4F9C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B27A7">
              <w:rPr>
                <w:rFonts w:cs="Times New Roman"/>
                <w:szCs w:val="24"/>
              </w:rPr>
              <w:t>4.0</w:t>
            </w:r>
          </w:p>
        </w:tc>
      </w:tr>
    </w:tbl>
    <w:p w:rsidR="00C475BD" w:rsidRPr="009B27A7" w:rsidRDefault="00C475BD" w:rsidP="00EC4F9C">
      <w:pPr>
        <w:spacing w:line="240" w:lineRule="auto"/>
        <w:jc w:val="center"/>
        <w:rPr>
          <w:rFonts w:cs="Times New Roman"/>
          <w:sz w:val="22"/>
        </w:rPr>
      </w:pPr>
      <w:r w:rsidRPr="009B27A7">
        <w:rPr>
          <w:rFonts w:cs="Times New Roman"/>
          <w:sz w:val="22"/>
          <w:vertAlign w:val="superscript"/>
        </w:rPr>
        <w:t>1</w:t>
      </w:r>
      <w:r w:rsidRPr="009B27A7">
        <w:rPr>
          <w:rFonts w:cs="Times New Roman"/>
          <w:sz w:val="22"/>
        </w:rPr>
        <w:t>Activity reported as number of active adults counted out of approximately 100</w:t>
      </w:r>
    </w:p>
    <w:p w:rsidR="00C475BD" w:rsidRPr="009B27A7" w:rsidRDefault="00C475BD" w:rsidP="00EC4F9C">
      <w:pPr>
        <w:spacing w:line="240" w:lineRule="auto"/>
        <w:jc w:val="center"/>
        <w:rPr>
          <w:rFonts w:cs="Times New Roman"/>
          <w:sz w:val="22"/>
        </w:rPr>
      </w:pPr>
      <w:r w:rsidRPr="009B27A7">
        <w:rPr>
          <w:rFonts w:cs="Times New Roman"/>
          <w:sz w:val="22"/>
          <w:vertAlign w:val="superscript"/>
        </w:rPr>
        <w:t>2</w:t>
      </w:r>
      <w:r w:rsidRPr="009B27A7">
        <w:rPr>
          <w:rFonts w:cs="Times New Roman"/>
          <w:sz w:val="22"/>
        </w:rPr>
        <w:t>Control consisted of RPMI-1640 with 1%/mL penicillin/streptomycin at pH=7.2</w:t>
      </w:r>
    </w:p>
    <w:p w:rsidR="00C475BD" w:rsidRPr="009B27A7" w:rsidRDefault="00C475BD" w:rsidP="00EC4F9C">
      <w:pPr>
        <w:spacing w:line="240" w:lineRule="auto"/>
        <w:jc w:val="center"/>
        <w:rPr>
          <w:rFonts w:cs="Times New Roman"/>
          <w:sz w:val="22"/>
        </w:rPr>
      </w:pPr>
      <w:proofErr w:type="spellStart"/>
      <w:proofErr w:type="gramStart"/>
      <w:r w:rsidRPr="009B27A7">
        <w:rPr>
          <w:rFonts w:cs="Times New Roman"/>
          <w:sz w:val="22"/>
          <w:vertAlign w:val="superscript"/>
        </w:rPr>
        <w:t>a,</w:t>
      </w:r>
      <w:proofErr w:type="gramEnd"/>
      <w:r w:rsidRPr="009B27A7">
        <w:rPr>
          <w:rFonts w:cs="Times New Roman"/>
          <w:sz w:val="22"/>
          <w:vertAlign w:val="superscript"/>
        </w:rPr>
        <w:t>b</w:t>
      </w:r>
      <w:proofErr w:type="spellEnd"/>
      <w:r w:rsidRPr="009B27A7">
        <w:rPr>
          <w:rFonts w:cs="Times New Roman"/>
          <w:sz w:val="22"/>
        </w:rPr>
        <w:t xml:space="preserve"> Means within a column with unlike superscripts are different (</w:t>
      </w:r>
      <w:r w:rsidRPr="009B27A7">
        <w:rPr>
          <w:rFonts w:cs="Times New Roman"/>
          <w:i/>
          <w:sz w:val="22"/>
        </w:rPr>
        <w:t>P</w:t>
      </w:r>
      <w:r w:rsidRPr="009B27A7">
        <w:rPr>
          <w:rFonts w:cs="Times New Roman"/>
          <w:sz w:val="22"/>
        </w:rPr>
        <w:t>&lt;0.05)</w:t>
      </w:r>
    </w:p>
    <w:p w:rsidR="0044527F" w:rsidRDefault="0044527F" w:rsidP="00EC4F9C">
      <w:pPr>
        <w:spacing w:line="240" w:lineRule="auto"/>
        <w:rPr>
          <w:rFonts w:cs="Times New Roman"/>
        </w:rPr>
      </w:pPr>
    </w:p>
    <w:sectPr w:rsidR="0044527F" w:rsidSect="00E5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7F" w:rsidRDefault="0044527F" w:rsidP="0044527F">
      <w:pPr>
        <w:spacing w:after="0" w:line="240" w:lineRule="auto"/>
      </w:pPr>
      <w:r>
        <w:separator/>
      </w:r>
    </w:p>
  </w:endnote>
  <w:endnote w:type="continuationSeparator" w:id="0">
    <w:p w:rsidR="0044527F" w:rsidRDefault="0044527F" w:rsidP="0044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7F" w:rsidRDefault="0044527F" w:rsidP="0044527F">
      <w:pPr>
        <w:spacing w:after="0" w:line="240" w:lineRule="auto"/>
      </w:pPr>
      <w:r>
        <w:separator/>
      </w:r>
    </w:p>
  </w:footnote>
  <w:footnote w:type="continuationSeparator" w:id="0">
    <w:p w:rsidR="0044527F" w:rsidRDefault="0044527F" w:rsidP="00445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4203"/>
    <w:multiLevelType w:val="multilevel"/>
    <w:tmpl w:val="626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552"/>
    <w:rsid w:val="00083A13"/>
    <w:rsid w:val="00230552"/>
    <w:rsid w:val="002961AB"/>
    <w:rsid w:val="0043648C"/>
    <w:rsid w:val="0044527F"/>
    <w:rsid w:val="00631364"/>
    <w:rsid w:val="007D111F"/>
    <w:rsid w:val="009B27A7"/>
    <w:rsid w:val="009D3570"/>
    <w:rsid w:val="00A80FA0"/>
    <w:rsid w:val="00B87648"/>
    <w:rsid w:val="00BB6EBF"/>
    <w:rsid w:val="00C475BD"/>
    <w:rsid w:val="00C96E70"/>
    <w:rsid w:val="00D414CB"/>
    <w:rsid w:val="00E51339"/>
    <w:rsid w:val="00E548E0"/>
    <w:rsid w:val="00EC4F9C"/>
    <w:rsid w:val="00FB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14C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evel2">
    <w:name w:val="Level 2"/>
    <w:basedOn w:val="Normal"/>
    <w:link w:val="Level2Char"/>
    <w:autoRedefine/>
    <w:qFormat/>
    <w:rsid w:val="002961AB"/>
    <w:pPr>
      <w:spacing w:after="0" w:line="240" w:lineRule="auto"/>
      <w:jc w:val="center"/>
    </w:pPr>
    <w:rPr>
      <w:rFonts w:cs="Times New Roman"/>
      <w:i/>
      <w:szCs w:val="24"/>
    </w:rPr>
  </w:style>
  <w:style w:type="character" w:customStyle="1" w:styleId="Level2Char">
    <w:name w:val="Level 2 Char"/>
    <w:basedOn w:val="DefaultParagraphFont"/>
    <w:link w:val="Level2"/>
    <w:rsid w:val="002961AB"/>
    <w:rPr>
      <w:rFonts w:cs="Times New Roman"/>
      <w:i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475BD"/>
    <w:pPr>
      <w:spacing w:after="0" w:line="240" w:lineRule="auto"/>
    </w:pPr>
    <w:rPr>
      <w:bCs/>
      <w:szCs w:val="18"/>
    </w:rPr>
  </w:style>
  <w:style w:type="table" w:customStyle="1" w:styleId="LightShading2">
    <w:name w:val="Light Shading2"/>
    <w:basedOn w:val="TableNormal"/>
    <w:uiPriority w:val="60"/>
    <w:rsid w:val="00C47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uiPriority w:val="60"/>
    <w:rsid w:val="00C475BD"/>
    <w:pPr>
      <w:spacing w:after="0" w:line="240" w:lineRule="auto"/>
    </w:pPr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4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7F"/>
  </w:style>
  <w:style w:type="paragraph" w:styleId="Footer">
    <w:name w:val="footer"/>
    <w:basedOn w:val="Normal"/>
    <w:link w:val="FooterChar"/>
    <w:uiPriority w:val="99"/>
    <w:semiHidden/>
    <w:unhideWhenUsed/>
    <w:rsid w:val="0044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859A6-160E-4D02-9B01-A63C9495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Shirron LeShure</dc:creator>
  <cp:lastModifiedBy>Shirron LeShure</cp:lastModifiedBy>
  <cp:revision>2</cp:revision>
  <dcterms:created xsi:type="dcterms:W3CDTF">2014-06-05T20:54:00Z</dcterms:created>
  <dcterms:modified xsi:type="dcterms:W3CDTF">2014-06-05T20:54:00Z</dcterms:modified>
</cp:coreProperties>
</file>