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3B" w:rsidRPr="001870E7" w:rsidRDefault="0059063B" w:rsidP="0059063B">
      <w:proofErr w:type="gramStart"/>
      <w:r w:rsidRPr="001870E7">
        <w:t>Figure 6.</w:t>
      </w:r>
      <w:proofErr w:type="gramEnd"/>
      <w:r w:rsidRPr="001870E7">
        <w:t xml:space="preserve"> Revenue generating crop yields from rotation B</w:t>
      </w:r>
      <w:r>
        <w:t xml:space="preserve"> at </w:t>
      </w:r>
      <w:proofErr w:type="spellStart"/>
      <w:r>
        <w:t>Watksinsville</w:t>
      </w:r>
      <w:proofErr w:type="spellEnd"/>
      <w:r>
        <w:t>, Georgia</w:t>
      </w:r>
      <w:r w:rsidRPr="001870E7">
        <w:t>, including annual yields (2011-13) and average yields from the 2012 Georgia Farm Gate Value Report.</w:t>
      </w:r>
    </w:p>
    <w:p w:rsidR="00F6492D" w:rsidRDefault="00F6492D" w:rsidP="0059063B">
      <w:bookmarkStart w:id="0" w:name="_GoBack"/>
      <w:bookmarkEnd w:id="0"/>
    </w:p>
    <w:p w:rsidR="0059063B" w:rsidRDefault="0059063B" w:rsidP="0059063B"/>
    <w:p w:rsidR="0059063B" w:rsidRPr="0059063B" w:rsidRDefault="0059063B" w:rsidP="0059063B">
      <w:r w:rsidRPr="001870E7">
        <w:rPr>
          <w:b/>
          <w:noProof/>
        </w:rPr>
        <w:drawing>
          <wp:inline distT="0" distB="0" distL="0" distR="0" wp14:anchorId="64F7D72F" wp14:editId="13071618">
            <wp:extent cx="5088467" cy="3064933"/>
            <wp:effectExtent l="0" t="0" r="0" b="889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9063B" w:rsidRPr="00590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2D"/>
    <w:rsid w:val="0059063B"/>
    <w:rsid w:val="00671C96"/>
    <w:rsid w:val="00C72F2A"/>
    <w:rsid w:val="00F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2D"/>
    <w:pPr>
      <w:spacing w:after="0" w:line="240" w:lineRule="auto"/>
    </w:pPr>
    <w:rPr>
      <w:rFonts w:ascii="Optima" w:eastAsiaTheme="minorEastAsia" w:hAnsi="Opti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2D"/>
    <w:pPr>
      <w:spacing w:after="0" w:line="240" w:lineRule="auto"/>
    </w:pPr>
    <w:rPr>
      <w:rFonts w:ascii="Optima" w:eastAsiaTheme="minorEastAsia" w:hAnsi="Opti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92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Sheet1!$B$10</c:f>
              <c:strCache>
                <c:ptCount val="1"/>
                <c:pt idx="0">
                  <c:v>Yr1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Sheet1!$A$11:$A$14</c:f>
              <c:strCache>
                <c:ptCount val="4"/>
                <c:pt idx="0">
                  <c:v>Broccoli</c:v>
                </c:pt>
                <c:pt idx="1">
                  <c:v>Lettuce</c:v>
                </c:pt>
                <c:pt idx="2">
                  <c:v>Carrots</c:v>
                </c:pt>
                <c:pt idx="3">
                  <c:v>Onions</c:v>
                </c:pt>
              </c:strCache>
            </c:strRef>
          </c:cat>
          <c:val>
            <c:numRef>
              <c:f>Sheet1!$B$11:$B$14</c:f>
              <c:numCache>
                <c:formatCode>General</c:formatCode>
                <c:ptCount val="4"/>
                <c:pt idx="0">
                  <c:v>2765</c:v>
                </c:pt>
                <c:pt idx="1">
                  <c:v>11495</c:v>
                </c:pt>
                <c:pt idx="2">
                  <c:v>9909</c:v>
                </c:pt>
                <c:pt idx="3">
                  <c:v>24694</c:v>
                </c:pt>
              </c:numCache>
            </c:numRef>
          </c:val>
        </c:ser>
        <c:ser>
          <c:idx val="1"/>
          <c:order val="1"/>
          <c:tx>
            <c:strRef>
              <c:f>Sheet1!$C$10</c:f>
              <c:strCache>
                <c:ptCount val="1"/>
                <c:pt idx="0">
                  <c:v>YR2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Sheet1!$A$11:$A$14</c:f>
              <c:strCache>
                <c:ptCount val="4"/>
                <c:pt idx="0">
                  <c:v>Broccoli</c:v>
                </c:pt>
                <c:pt idx="1">
                  <c:v>Lettuce</c:v>
                </c:pt>
                <c:pt idx="2">
                  <c:v>Carrots</c:v>
                </c:pt>
                <c:pt idx="3">
                  <c:v>Onions</c:v>
                </c:pt>
              </c:strCache>
            </c:strRef>
          </c:cat>
          <c:val>
            <c:numRef>
              <c:f>Sheet1!$C$11:$C$14</c:f>
              <c:numCache>
                <c:formatCode>General</c:formatCode>
                <c:ptCount val="4"/>
                <c:pt idx="0">
                  <c:v>6207</c:v>
                </c:pt>
                <c:pt idx="1">
                  <c:v>21860</c:v>
                </c:pt>
                <c:pt idx="2">
                  <c:v>11628</c:v>
                </c:pt>
                <c:pt idx="3">
                  <c:v>35378</c:v>
                </c:pt>
              </c:numCache>
            </c:numRef>
          </c:val>
        </c:ser>
        <c:ser>
          <c:idx val="2"/>
          <c:order val="2"/>
          <c:tx>
            <c:strRef>
              <c:f>Sheet1!$D$10</c:f>
              <c:strCache>
                <c:ptCount val="1"/>
                <c:pt idx="0">
                  <c:v>Yr3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Sheet1!$A$11:$A$14</c:f>
              <c:strCache>
                <c:ptCount val="4"/>
                <c:pt idx="0">
                  <c:v>Broccoli</c:v>
                </c:pt>
                <c:pt idx="1">
                  <c:v>Lettuce</c:v>
                </c:pt>
                <c:pt idx="2">
                  <c:v>Carrots</c:v>
                </c:pt>
                <c:pt idx="3">
                  <c:v>Onions</c:v>
                </c:pt>
              </c:strCache>
            </c:strRef>
          </c:cat>
          <c:val>
            <c:numRef>
              <c:f>Sheet1!$D$11:$D$14</c:f>
              <c:numCache>
                <c:formatCode>General</c:formatCode>
                <c:ptCount val="4"/>
                <c:pt idx="0">
                  <c:v>10230</c:v>
                </c:pt>
                <c:pt idx="1">
                  <c:v>18666</c:v>
                </c:pt>
                <c:pt idx="2">
                  <c:v>13749</c:v>
                </c:pt>
                <c:pt idx="3">
                  <c:v>26405</c:v>
                </c:pt>
              </c:numCache>
            </c:numRef>
          </c:val>
        </c:ser>
        <c:ser>
          <c:idx val="3"/>
          <c:order val="3"/>
          <c:tx>
            <c:strRef>
              <c:f>Sheet1!$E$10</c:f>
              <c:strCache>
                <c:ptCount val="1"/>
                <c:pt idx="0">
                  <c:v>County Avg</c:v>
                </c:pt>
              </c:strCache>
            </c:strRef>
          </c:tx>
          <c:spPr>
            <a:pattFill prst="narHorz">
              <a:fgClr>
                <a:schemeClr val="accent3">
                  <a:lumMod val="50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val>
            <c:numRef>
              <c:f>Sheet1!$E$11:$E$14</c:f>
              <c:numCache>
                <c:formatCode>General</c:formatCode>
                <c:ptCount val="4"/>
                <c:pt idx="0">
                  <c:v>10120</c:v>
                </c:pt>
                <c:pt idx="1">
                  <c:v>5800</c:v>
                </c:pt>
                <c:pt idx="2">
                  <c:v>30864</c:v>
                </c:pt>
                <c:pt idx="3">
                  <c:v>23965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039104"/>
        <c:axId val="36945920"/>
      </c:barChart>
      <c:catAx>
        <c:axId val="13903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945920"/>
        <c:crosses val="autoZero"/>
        <c:auto val="1"/>
        <c:lblAlgn val="ctr"/>
        <c:lblOffset val="100"/>
        <c:noMultiLvlLbl val="0"/>
      </c:catAx>
      <c:valAx>
        <c:axId val="3694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600" dirty="0"/>
                  <a:t>Yields   lbs/ac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Blum</dc:creator>
  <cp:lastModifiedBy>Sue Blum</cp:lastModifiedBy>
  <cp:revision>2</cp:revision>
  <dcterms:created xsi:type="dcterms:W3CDTF">2014-09-23T14:45:00Z</dcterms:created>
  <dcterms:modified xsi:type="dcterms:W3CDTF">2014-09-23T14:45:00Z</dcterms:modified>
</cp:coreProperties>
</file>