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936730" w14:textId="111F01AE" w:rsidR="003A1D05" w:rsidRPr="002F451D" w:rsidRDefault="00C144D8" w:rsidP="00A558D3">
      <w:pPr>
        <w:jc w:val="center"/>
        <w:rPr>
          <w:rFonts w:ascii="Century Schoolbook" w:hAnsi="Century Schoolbook"/>
          <w:sz w:val="32"/>
          <w:szCs w:val="32"/>
        </w:rPr>
      </w:pPr>
      <w:r>
        <w:rPr>
          <w:rFonts w:ascii="Century Schoolbook" w:hAnsi="Century Schoolbook"/>
          <w:sz w:val="32"/>
          <w:szCs w:val="32"/>
        </w:rPr>
        <w:t>FARM NAME</w:t>
      </w:r>
      <w:r w:rsidR="003A1D05" w:rsidRPr="002F451D">
        <w:rPr>
          <w:rFonts w:ascii="Century Schoolbook" w:hAnsi="Century Schoolbook"/>
          <w:sz w:val="32"/>
          <w:szCs w:val="32"/>
        </w:rPr>
        <w:t xml:space="preserve"> Fact Sheet</w:t>
      </w:r>
    </w:p>
    <w:p w14:paraId="73EA5588" w14:textId="77777777" w:rsidR="003A1D05" w:rsidRPr="002F451D" w:rsidRDefault="00A558D3" w:rsidP="003A1D05">
      <w:pPr>
        <w:jc w:val="center"/>
        <w:rPr>
          <w:rFonts w:ascii="Century Schoolbook" w:hAnsi="Century Schoolbook"/>
          <w:sz w:val="32"/>
          <w:szCs w:val="32"/>
        </w:rPr>
      </w:pPr>
      <w:r w:rsidRPr="002F451D">
        <w:rPr>
          <w:rFonts w:ascii="Century Schoolbook" w:hAnsi="Century Schoolbook"/>
          <w:sz w:val="32"/>
          <w:szCs w:val="32"/>
        </w:rPr>
        <w:t>2012 &amp; 2013</w:t>
      </w:r>
    </w:p>
    <w:p w14:paraId="689BB765" w14:textId="77777777" w:rsidR="00A45072" w:rsidRPr="00D54D84" w:rsidRDefault="00A45072" w:rsidP="003A1D05">
      <w:pPr>
        <w:jc w:val="center"/>
        <w:rPr>
          <w:rFonts w:ascii="Century Schoolbook" w:hAnsi="Century Schoolbook"/>
          <w:sz w:val="16"/>
          <w:szCs w:val="16"/>
        </w:rPr>
      </w:pPr>
    </w:p>
    <w:p w14:paraId="109A4EA5" w14:textId="1FA25A66" w:rsidR="00A45072" w:rsidRPr="00727544" w:rsidRDefault="00B06497" w:rsidP="003A1D05">
      <w:pPr>
        <w:rPr>
          <w:rFonts w:ascii="Century Schoolbook" w:hAnsi="Century Schoolbook"/>
        </w:rPr>
      </w:pPr>
      <w:r w:rsidRPr="00727544">
        <w:rPr>
          <w:rFonts w:ascii="Century Schoolbook" w:hAnsi="Century Schoolbook"/>
        </w:rPr>
        <w:t>Potato Virus Y (PVY) is a viral disease that affects solanaceous crops, including potato, tomato, pepper, and tobacco. It reduces yield</w:t>
      </w:r>
      <w:r w:rsidR="007069F3">
        <w:rPr>
          <w:rFonts w:ascii="Century Schoolbook" w:hAnsi="Century Schoolbook"/>
        </w:rPr>
        <w:t>s</w:t>
      </w:r>
      <w:r w:rsidRPr="00727544">
        <w:rPr>
          <w:rFonts w:ascii="Century Schoolbook" w:hAnsi="Century Schoolbook"/>
        </w:rPr>
        <w:t xml:space="preserve">, and can sicken the plants without causing visible symptoms, making it difficult to </w:t>
      </w:r>
      <w:r w:rsidR="007069F3">
        <w:rPr>
          <w:rFonts w:ascii="Century Schoolbook" w:hAnsi="Century Schoolbook"/>
        </w:rPr>
        <w:t xml:space="preserve">detect and </w:t>
      </w:r>
      <w:r w:rsidRPr="00727544">
        <w:rPr>
          <w:rFonts w:ascii="Century Schoolbook" w:hAnsi="Century Schoolbook"/>
        </w:rPr>
        <w:t xml:space="preserve">manage in the field. </w:t>
      </w:r>
      <w:r w:rsidR="007069F3">
        <w:rPr>
          <w:rFonts w:ascii="Century Schoolbook" w:hAnsi="Century Schoolbook"/>
        </w:rPr>
        <w:t>The</w:t>
      </w:r>
      <w:r w:rsidR="00ED7214" w:rsidRPr="00727544">
        <w:rPr>
          <w:rFonts w:ascii="Century Schoolbook" w:hAnsi="Century Schoolbook"/>
        </w:rPr>
        <w:t xml:space="preserve"> study</w:t>
      </w:r>
      <w:r w:rsidR="007069F3">
        <w:rPr>
          <w:rFonts w:ascii="Century Schoolbook" w:hAnsi="Century Schoolbook"/>
        </w:rPr>
        <w:t xml:space="preserve"> that your farm participated in</w:t>
      </w:r>
      <w:r w:rsidR="00ED7214" w:rsidRPr="00727544">
        <w:rPr>
          <w:rFonts w:ascii="Century Schoolbook" w:hAnsi="Century Schoolbook"/>
        </w:rPr>
        <w:t xml:space="preserve"> explored </w:t>
      </w:r>
      <w:r w:rsidRPr="00727544">
        <w:rPr>
          <w:rFonts w:ascii="Century Schoolbook" w:hAnsi="Century Schoolbook"/>
        </w:rPr>
        <w:t xml:space="preserve">ecological </w:t>
      </w:r>
      <w:r w:rsidR="00ED7214" w:rsidRPr="00727544">
        <w:rPr>
          <w:rFonts w:ascii="Century Schoolbook" w:hAnsi="Century Schoolbook"/>
        </w:rPr>
        <w:t>factors that influence the amount of</w:t>
      </w:r>
      <w:r w:rsidR="00713EEC" w:rsidRPr="00727544">
        <w:rPr>
          <w:rFonts w:ascii="Century Schoolbook" w:hAnsi="Century Schoolbook"/>
        </w:rPr>
        <w:t xml:space="preserve"> PVY</w:t>
      </w:r>
      <w:r w:rsidR="00ED7214" w:rsidRPr="00727544">
        <w:rPr>
          <w:rFonts w:ascii="Century Schoolbook" w:hAnsi="Century Schoolbook"/>
        </w:rPr>
        <w:t xml:space="preserve"> on farms across the Finger Lakes region</w:t>
      </w:r>
      <w:r w:rsidRPr="00727544">
        <w:rPr>
          <w:rFonts w:ascii="Century Schoolbook" w:hAnsi="Century Schoolbook"/>
        </w:rPr>
        <w:t xml:space="preserve">, in an effort to better understand what drives virus prevalence (the overall </w:t>
      </w:r>
      <w:r w:rsidR="007069F3">
        <w:rPr>
          <w:rFonts w:ascii="Century Schoolbook" w:hAnsi="Century Schoolbook"/>
        </w:rPr>
        <w:t>proportion</w:t>
      </w:r>
      <w:r w:rsidRPr="00727544">
        <w:rPr>
          <w:rFonts w:ascii="Century Schoolbook" w:hAnsi="Century Schoolbook"/>
        </w:rPr>
        <w:t xml:space="preserve"> of plants that are infected)</w:t>
      </w:r>
      <w:r w:rsidR="00ED7214" w:rsidRPr="00727544">
        <w:rPr>
          <w:rFonts w:ascii="Century Schoolbook" w:hAnsi="Century Schoolbook"/>
        </w:rPr>
        <w:t xml:space="preserve">. </w:t>
      </w:r>
      <w:r w:rsidRPr="00727544">
        <w:rPr>
          <w:rFonts w:ascii="Century Schoolbook" w:hAnsi="Century Schoolbook"/>
        </w:rPr>
        <w:t xml:space="preserve">Specifically, this </w:t>
      </w:r>
      <w:r w:rsidR="007069F3">
        <w:rPr>
          <w:rFonts w:ascii="Century Schoolbook" w:hAnsi="Century Schoolbook"/>
        </w:rPr>
        <w:t>study</w:t>
      </w:r>
      <w:r w:rsidRPr="00727544">
        <w:rPr>
          <w:rFonts w:ascii="Century Schoolbook" w:hAnsi="Century Schoolbook"/>
        </w:rPr>
        <w:t xml:space="preserve"> investigated the relationship be</w:t>
      </w:r>
      <w:r w:rsidR="00FD39CF" w:rsidRPr="00727544">
        <w:rPr>
          <w:rFonts w:ascii="Century Schoolbook" w:hAnsi="Century Schoolbook"/>
        </w:rPr>
        <w:t>tween the</w:t>
      </w:r>
      <w:r w:rsidR="009C35E2" w:rsidRPr="00727544">
        <w:rPr>
          <w:rFonts w:ascii="Century Schoolbook" w:hAnsi="Century Schoolbook"/>
        </w:rPr>
        <w:t xml:space="preserve"> PVY prevalence and</w:t>
      </w:r>
      <w:r w:rsidR="00FD39CF" w:rsidRPr="00727544">
        <w:rPr>
          <w:rFonts w:ascii="Century Schoolbook" w:hAnsi="Century Schoolbook"/>
        </w:rPr>
        <w:t xml:space="preserve"> </w:t>
      </w:r>
      <w:r w:rsidR="009C35E2" w:rsidRPr="00727544">
        <w:rPr>
          <w:rFonts w:ascii="Century Schoolbook" w:hAnsi="Century Schoolbook"/>
        </w:rPr>
        <w:t xml:space="preserve">1. </w:t>
      </w:r>
      <w:r w:rsidR="003C1A01" w:rsidRPr="00727544">
        <w:rPr>
          <w:rFonts w:ascii="Century Schoolbook" w:hAnsi="Century Schoolbook"/>
        </w:rPr>
        <w:t>t</w:t>
      </w:r>
      <w:r w:rsidR="009C35E2" w:rsidRPr="00727544">
        <w:rPr>
          <w:rFonts w:ascii="Century Schoolbook" w:hAnsi="Century Schoolbook"/>
        </w:rPr>
        <w:t xml:space="preserve">he </w:t>
      </w:r>
      <w:r w:rsidR="00FD39CF" w:rsidRPr="00727544">
        <w:rPr>
          <w:rFonts w:ascii="Century Schoolbook" w:hAnsi="Century Schoolbook"/>
        </w:rPr>
        <w:t xml:space="preserve">amount of agricultural land in the surrounding area, </w:t>
      </w:r>
      <w:r w:rsidR="009C35E2" w:rsidRPr="00727544">
        <w:rPr>
          <w:rFonts w:ascii="Century Schoolbook" w:hAnsi="Century Schoolbook"/>
        </w:rPr>
        <w:t xml:space="preserve">2. </w:t>
      </w:r>
      <w:r w:rsidR="00FD39CF" w:rsidRPr="00727544">
        <w:rPr>
          <w:rFonts w:ascii="Century Schoolbook" w:hAnsi="Century Schoolbook"/>
        </w:rPr>
        <w:t>the abundance and diversity of aphids (the insects that transmit PVY between plants)</w:t>
      </w:r>
      <w:r w:rsidR="009C35E2" w:rsidRPr="00727544">
        <w:rPr>
          <w:rFonts w:ascii="Century Schoolbook" w:hAnsi="Century Schoolbook"/>
        </w:rPr>
        <w:t>,</w:t>
      </w:r>
      <w:r w:rsidR="00FD39CF" w:rsidRPr="00727544">
        <w:rPr>
          <w:rFonts w:ascii="Century Schoolbook" w:hAnsi="Century Schoolbook"/>
        </w:rPr>
        <w:t xml:space="preserve"> and </w:t>
      </w:r>
      <w:r w:rsidR="009C35E2" w:rsidRPr="00727544">
        <w:rPr>
          <w:rFonts w:ascii="Century Schoolbook" w:hAnsi="Century Schoolbook"/>
        </w:rPr>
        <w:t xml:space="preserve">3. the abundance and diversity of </w:t>
      </w:r>
      <w:r w:rsidR="00FD39CF" w:rsidRPr="00727544">
        <w:rPr>
          <w:rFonts w:ascii="Century Schoolbook" w:hAnsi="Century Schoolbook"/>
        </w:rPr>
        <w:t>lady bugs (the main predators of aphids)</w:t>
      </w:r>
      <w:r w:rsidR="009C35E2" w:rsidRPr="00727544">
        <w:rPr>
          <w:rFonts w:ascii="Century Schoolbook" w:hAnsi="Century Schoolbook"/>
        </w:rPr>
        <w:t xml:space="preserve"> </w:t>
      </w:r>
      <w:r w:rsidR="00FD39CF" w:rsidRPr="00727544">
        <w:rPr>
          <w:rFonts w:ascii="Century Schoolbook" w:hAnsi="Century Schoolbook"/>
        </w:rPr>
        <w:t>.</w:t>
      </w:r>
    </w:p>
    <w:p w14:paraId="4E869B36" w14:textId="77777777" w:rsidR="004C1F9F" w:rsidRPr="00D54D84" w:rsidRDefault="004C1F9F" w:rsidP="003A1D05">
      <w:pPr>
        <w:rPr>
          <w:rFonts w:ascii="Century Schoolbook" w:hAnsi="Century Schoolbook"/>
          <w:sz w:val="10"/>
          <w:szCs w:val="10"/>
        </w:rPr>
      </w:pPr>
    </w:p>
    <w:p w14:paraId="090B4673" w14:textId="42ADEB49" w:rsidR="00A45072" w:rsidRPr="00B06497" w:rsidRDefault="004C1F9F" w:rsidP="004C1F9F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81E1F" wp14:editId="3603E575">
                <wp:simplePos x="0" y="0"/>
                <wp:positionH relativeFrom="column">
                  <wp:posOffset>0</wp:posOffset>
                </wp:positionH>
                <wp:positionV relativeFrom="paragraph">
                  <wp:posOffset>41275</wp:posOffset>
                </wp:positionV>
                <wp:extent cx="5600700" cy="0"/>
                <wp:effectExtent l="50800" t="25400" r="63500" b="1016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.25pt" to="441pt,3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" strokecolor="black [3213]" strokeweight="2pt">
                <v:shadow on="t" opacity="24903f" mv:blur="40000f" origin=",.5" offset="0,20000emu"/>
              </v:line>
            </w:pict>
          </mc:Fallback>
        </mc:AlternateContent>
      </w:r>
    </w:p>
    <w:p w14:paraId="7FE02BFA" w14:textId="50B56614" w:rsidR="003A1D05" w:rsidRPr="000F70BD" w:rsidRDefault="00180F15" w:rsidP="003A1D05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 xml:space="preserve">At </w:t>
      </w:r>
      <w:r w:rsidR="00C144D8">
        <w:rPr>
          <w:rFonts w:ascii="Century Schoolbook" w:hAnsi="Century Schoolbook"/>
          <w:b/>
          <w:sz w:val="28"/>
          <w:szCs w:val="28"/>
        </w:rPr>
        <w:t>FARM NAME</w:t>
      </w:r>
    </w:p>
    <w:p w14:paraId="56041379" w14:textId="5FC11D78" w:rsidR="003A1D05" w:rsidRDefault="00BD5DB4" w:rsidP="003A1D05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In 2012, </w:t>
      </w:r>
      <w:r w:rsidR="00180F15">
        <w:rPr>
          <w:rFonts w:ascii="Century Schoolbook" w:hAnsi="Century Schoolbook"/>
        </w:rPr>
        <w:t>5</w:t>
      </w:r>
      <w:r w:rsidR="00CA7523">
        <w:rPr>
          <w:rFonts w:ascii="Century Schoolbook" w:hAnsi="Century Schoolbook"/>
        </w:rPr>
        <w:t>%</w:t>
      </w:r>
      <w:r>
        <w:rPr>
          <w:rFonts w:ascii="Century Schoolbook" w:hAnsi="Century Schoolbook"/>
        </w:rPr>
        <w:t xml:space="preserve"> of potato plants sampl</w:t>
      </w:r>
      <w:r w:rsidR="00C121AB">
        <w:rPr>
          <w:rFonts w:ascii="Century Schoolbook" w:hAnsi="Century Schoolbook"/>
        </w:rPr>
        <w:t xml:space="preserve">ed were infected with PVY and </w:t>
      </w:r>
      <w:r w:rsidR="00180F15">
        <w:rPr>
          <w:rFonts w:ascii="Century Schoolbook" w:hAnsi="Century Schoolbook"/>
        </w:rPr>
        <w:t>2.</w:t>
      </w:r>
      <w:r w:rsidR="00C121AB">
        <w:rPr>
          <w:rFonts w:ascii="Century Schoolbook" w:hAnsi="Century Schoolbook"/>
        </w:rPr>
        <w:t>5</w:t>
      </w:r>
      <w:r>
        <w:rPr>
          <w:rFonts w:ascii="Century Schoolbook" w:hAnsi="Century Schoolbook"/>
        </w:rPr>
        <w:t>% were infected in 2013</w:t>
      </w:r>
      <w:r w:rsidR="00CA7523">
        <w:rPr>
          <w:rFonts w:ascii="Century Schoolbook" w:hAnsi="Century Schoolbook"/>
        </w:rPr>
        <w:t xml:space="preserve">. Throughout the </w:t>
      </w:r>
      <w:r w:rsidR="00BB1BA8">
        <w:rPr>
          <w:rFonts w:ascii="Century Schoolbook" w:hAnsi="Century Schoolbook"/>
        </w:rPr>
        <w:t xml:space="preserve">2012 </w:t>
      </w:r>
      <w:r w:rsidR="00CA7523">
        <w:rPr>
          <w:rFonts w:ascii="Century Schoolbook" w:hAnsi="Century Schoolbook"/>
        </w:rPr>
        <w:t>season, I caught</w:t>
      </w:r>
      <w:r w:rsidR="00180F15">
        <w:rPr>
          <w:rFonts w:ascii="Century Schoolbook" w:hAnsi="Century Schoolbook"/>
        </w:rPr>
        <w:t xml:space="preserve"> 91</w:t>
      </w:r>
      <w:r w:rsidR="00BB1BA8">
        <w:rPr>
          <w:rFonts w:ascii="Century Schoolbook" w:hAnsi="Century Schoolbook"/>
        </w:rPr>
        <w:t xml:space="preserve"> aphids, </w:t>
      </w:r>
      <w:r w:rsidR="00180F15">
        <w:rPr>
          <w:rFonts w:ascii="Century Schoolbook" w:hAnsi="Century Schoolbook"/>
        </w:rPr>
        <w:t>and in 2013 I caught 120</w:t>
      </w:r>
      <w:r w:rsidR="005F3098">
        <w:rPr>
          <w:rFonts w:ascii="Century Schoolbook" w:hAnsi="Century Schoolbook"/>
        </w:rPr>
        <w:t xml:space="preserve">, </w:t>
      </w:r>
      <w:r w:rsidR="00BB1BA8">
        <w:rPr>
          <w:rFonts w:ascii="Century Schoolbook" w:hAnsi="Century Schoolbook"/>
        </w:rPr>
        <w:t>whic</w:t>
      </w:r>
      <w:r w:rsidR="005F3098">
        <w:rPr>
          <w:rFonts w:ascii="Century Schoolbook" w:hAnsi="Century Schoolbook"/>
        </w:rPr>
        <w:t>h amounts to about 1</w:t>
      </w:r>
      <w:r w:rsidR="00180F15">
        <w:rPr>
          <w:rFonts w:ascii="Century Schoolbook" w:hAnsi="Century Schoolbook"/>
        </w:rPr>
        <w:t>.5</w:t>
      </w:r>
      <w:r w:rsidR="005F3098">
        <w:rPr>
          <w:rFonts w:ascii="Century Schoolbook" w:hAnsi="Century Schoolbook"/>
        </w:rPr>
        <w:t xml:space="preserve"> per trap</w:t>
      </w:r>
      <w:r w:rsidR="00BB1BA8">
        <w:rPr>
          <w:rFonts w:ascii="Century Schoolbook" w:hAnsi="Century Schoolbook"/>
        </w:rPr>
        <w:t xml:space="preserve">. </w:t>
      </w:r>
      <w:r w:rsidR="00C04653">
        <w:rPr>
          <w:rFonts w:ascii="Century Schoolbook" w:hAnsi="Century Schoolbook"/>
        </w:rPr>
        <w:t>The aphid community was variable; i</w:t>
      </w:r>
      <w:r w:rsidR="00F54B4B">
        <w:rPr>
          <w:rFonts w:ascii="Century Schoolbook" w:hAnsi="Century Schoolbook"/>
        </w:rPr>
        <w:t>n 2012</w:t>
      </w:r>
      <w:r w:rsidR="00BB1BA8">
        <w:rPr>
          <w:rFonts w:ascii="Century Schoolbook" w:hAnsi="Century Schoolbook"/>
        </w:rPr>
        <w:t xml:space="preserve">, aphid numbers peaked in </w:t>
      </w:r>
      <w:r w:rsidR="00592EAF">
        <w:rPr>
          <w:rFonts w:ascii="Century Schoolbook" w:hAnsi="Century Schoolbook"/>
        </w:rPr>
        <w:t>May</w:t>
      </w:r>
      <w:r w:rsidR="00BB1BA8">
        <w:rPr>
          <w:rFonts w:ascii="Century Schoolbook" w:hAnsi="Century Schoolbook"/>
        </w:rPr>
        <w:t xml:space="preserve"> and dropped </w:t>
      </w:r>
      <w:r w:rsidR="00592EAF">
        <w:rPr>
          <w:rFonts w:ascii="Century Schoolbook" w:hAnsi="Century Schoolbook"/>
        </w:rPr>
        <w:t>off quickly throughout the season</w:t>
      </w:r>
      <w:r w:rsidR="00F54B4B">
        <w:rPr>
          <w:rFonts w:ascii="Century Schoolbook" w:hAnsi="Century Schoolbook"/>
        </w:rPr>
        <w:t xml:space="preserve">, but </w:t>
      </w:r>
      <w:r w:rsidR="00592EAF">
        <w:rPr>
          <w:rFonts w:ascii="Century Schoolbook" w:hAnsi="Century Schoolbook"/>
        </w:rPr>
        <w:t xml:space="preserve">in </w:t>
      </w:r>
      <w:r w:rsidR="00C04653">
        <w:rPr>
          <w:rFonts w:ascii="Century Schoolbook" w:hAnsi="Century Schoolbook"/>
        </w:rPr>
        <w:t>2013</w:t>
      </w:r>
      <w:r w:rsidR="00592EAF">
        <w:rPr>
          <w:rFonts w:ascii="Century Schoolbook" w:hAnsi="Century Schoolbook"/>
        </w:rPr>
        <w:t xml:space="preserve"> numbers rose again in July</w:t>
      </w:r>
      <w:r w:rsidR="00C04653">
        <w:rPr>
          <w:rFonts w:ascii="Century Schoolbook" w:hAnsi="Century Schoolbook"/>
        </w:rPr>
        <w:t xml:space="preserve"> </w:t>
      </w:r>
      <w:r w:rsidR="00BB1BA8">
        <w:rPr>
          <w:rFonts w:ascii="Century Schoolbook" w:hAnsi="Century Schoolbook"/>
        </w:rPr>
        <w:t xml:space="preserve">(see graph below). </w:t>
      </w:r>
      <w:r w:rsidR="0072681D">
        <w:rPr>
          <w:rFonts w:ascii="Century Schoolbook" w:hAnsi="Century Schoolbook"/>
        </w:rPr>
        <w:t>The landscape within 1 kilometer of the p</w:t>
      </w:r>
      <w:r w:rsidR="00BF75C1">
        <w:rPr>
          <w:rFonts w:ascii="Century Schoolbook" w:hAnsi="Century Schoolbook"/>
        </w:rPr>
        <w:t>otato field was about 16</w:t>
      </w:r>
      <w:r w:rsidR="0072681D">
        <w:rPr>
          <w:rFonts w:ascii="Century Schoolbook" w:hAnsi="Century Schoolbook"/>
        </w:rPr>
        <w:t>% agricultural</w:t>
      </w:r>
      <w:r w:rsidR="00BF75C1">
        <w:rPr>
          <w:rFonts w:ascii="Century Schoolbook" w:hAnsi="Century Schoolbook"/>
        </w:rPr>
        <w:t xml:space="preserve"> in 2012 and 24% in 2013</w:t>
      </w:r>
      <w:r w:rsidR="0072681D">
        <w:rPr>
          <w:rFonts w:ascii="Century Schoolbook" w:hAnsi="Century Schoolbook"/>
        </w:rPr>
        <w:t>, with the remainder being largely unmanaged natural environments (i.e. fallow fields, forested land).</w:t>
      </w:r>
    </w:p>
    <w:p w14:paraId="3A10FB62" w14:textId="77777777" w:rsidR="00C04653" w:rsidRDefault="00C04653" w:rsidP="003A1D05">
      <w:pPr>
        <w:rPr>
          <w:rFonts w:ascii="Century Schoolbook" w:hAnsi="Century Schoolbook"/>
        </w:rPr>
      </w:pPr>
    </w:p>
    <w:p w14:paraId="1280A219" w14:textId="11B17D5C" w:rsidR="00815C12" w:rsidRDefault="001066ED" w:rsidP="003A1D05">
      <w:pPr>
        <w:rPr>
          <w:rFonts w:ascii="Century Schoolbook" w:hAnsi="Century Schoolbook"/>
        </w:rPr>
      </w:pPr>
      <w:r>
        <w:rPr>
          <w:noProof/>
        </w:rPr>
        <w:drawing>
          <wp:inline distT="0" distB="0" distL="0" distR="0" wp14:anchorId="6122F0D6" wp14:editId="147E2759">
            <wp:extent cx="4572000" cy="2743200"/>
            <wp:effectExtent l="0" t="0" r="25400" b="2540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136FED9" w14:textId="77777777" w:rsidR="00CC0400" w:rsidRPr="00CC0400" w:rsidRDefault="00CC0400" w:rsidP="003A1D05">
      <w:pPr>
        <w:rPr>
          <w:rFonts w:ascii="Century Schoolbook" w:hAnsi="Century Schoolbook"/>
          <w:sz w:val="10"/>
          <w:szCs w:val="10"/>
        </w:rPr>
      </w:pPr>
    </w:p>
    <w:p w14:paraId="73395FB2" w14:textId="67F10CE2" w:rsidR="00CC0400" w:rsidRDefault="00CC0400" w:rsidP="003A1D05">
      <w:pPr>
        <w:rPr>
          <w:rFonts w:ascii="Century Schoolbook" w:hAnsi="Century Schoolbook"/>
          <w:sz w:val="22"/>
          <w:szCs w:val="22"/>
        </w:rPr>
      </w:pPr>
      <w:r w:rsidRPr="00705B97">
        <w:rPr>
          <w:rFonts w:ascii="Century Schoolbook" w:hAnsi="Century Schoolbook"/>
          <w:b/>
          <w:sz w:val="22"/>
          <w:szCs w:val="22"/>
        </w:rPr>
        <w:t>Figure 1:</w:t>
      </w:r>
      <w:r w:rsidRPr="00CC0400">
        <w:rPr>
          <w:rFonts w:ascii="Century Schoolbook" w:hAnsi="Century Schoolbook"/>
          <w:sz w:val="22"/>
          <w:szCs w:val="22"/>
        </w:rPr>
        <w:t xml:space="preserve"> This graphs shows the </w:t>
      </w:r>
      <w:r w:rsidR="00BB2F3C">
        <w:rPr>
          <w:rFonts w:ascii="Century Schoolbook" w:hAnsi="Century Schoolbook"/>
          <w:sz w:val="22"/>
          <w:szCs w:val="22"/>
        </w:rPr>
        <w:t xml:space="preserve">abundance of </w:t>
      </w:r>
      <w:r w:rsidRPr="00CC0400">
        <w:rPr>
          <w:rFonts w:ascii="Century Schoolbook" w:hAnsi="Century Schoolbook"/>
          <w:sz w:val="22"/>
          <w:szCs w:val="22"/>
        </w:rPr>
        <w:t>aphid</w:t>
      </w:r>
      <w:r w:rsidR="00BB2F3C">
        <w:rPr>
          <w:rFonts w:ascii="Century Schoolbook" w:hAnsi="Century Schoolbook"/>
          <w:sz w:val="22"/>
          <w:szCs w:val="22"/>
        </w:rPr>
        <w:t>s</w:t>
      </w:r>
      <w:r w:rsidRPr="00CC0400">
        <w:rPr>
          <w:rFonts w:ascii="Century Schoolbook" w:hAnsi="Century Schoolbook"/>
          <w:sz w:val="22"/>
          <w:szCs w:val="22"/>
        </w:rPr>
        <w:t xml:space="preserve"> collected in each month in both years. Th</w:t>
      </w:r>
      <w:r>
        <w:rPr>
          <w:rFonts w:ascii="Century Schoolbook" w:hAnsi="Century Schoolbook"/>
          <w:sz w:val="22"/>
          <w:szCs w:val="22"/>
        </w:rPr>
        <w:t xml:space="preserve">e month is indicated by a number, where January=1. </w:t>
      </w:r>
    </w:p>
    <w:p w14:paraId="1205E43A" w14:textId="77777777" w:rsidR="00900AFE" w:rsidRDefault="00900AFE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br w:type="page"/>
      </w:r>
    </w:p>
    <w:p w14:paraId="4A6F152C" w14:textId="5DE76B22" w:rsidR="003A1D05" w:rsidRPr="00CC0400" w:rsidRDefault="003A1D05" w:rsidP="003A1D05">
      <w:pPr>
        <w:rPr>
          <w:rFonts w:ascii="Century Schoolbook" w:hAnsi="Century Schoolbook"/>
          <w:sz w:val="22"/>
          <w:szCs w:val="22"/>
        </w:rPr>
      </w:pPr>
      <w:r w:rsidRPr="00035341">
        <w:rPr>
          <w:rFonts w:ascii="Century Schoolbook" w:hAnsi="Century Schoolbook"/>
          <w:b/>
          <w:sz w:val="28"/>
          <w:szCs w:val="28"/>
        </w:rPr>
        <w:lastRenderedPageBreak/>
        <w:t>Overall</w:t>
      </w:r>
    </w:p>
    <w:p w14:paraId="22329B43" w14:textId="0C1251AF" w:rsidR="004548D0" w:rsidRDefault="00D54D84" w:rsidP="003A1D05">
      <w:pPr>
        <w:rPr>
          <w:rFonts w:ascii="Century Schoolbook" w:hAnsi="Century Schoolbook"/>
        </w:rPr>
      </w:pPr>
      <w:r>
        <w:rPr>
          <w:rFonts w:ascii="Century Schoolbook" w:hAnsi="Century Schoolbook"/>
        </w:rPr>
        <w:t>PVY does not come from the environment (there are no wild hosts</w:t>
      </w:r>
      <w:r w:rsidR="00311BA0">
        <w:rPr>
          <w:rFonts w:ascii="Century Schoolbook" w:hAnsi="Century Schoolbook"/>
        </w:rPr>
        <w:t xml:space="preserve"> that overwinter in this area); </w:t>
      </w:r>
      <w:r>
        <w:rPr>
          <w:rFonts w:ascii="Century Schoolbook" w:hAnsi="Century Schoolbook"/>
        </w:rPr>
        <w:t xml:space="preserve">the virus is introduced each year in infected seed tubers. </w:t>
      </w:r>
      <w:r w:rsidR="00311BA0">
        <w:rPr>
          <w:rFonts w:ascii="Century Schoolbook" w:hAnsi="Century Schoolbook"/>
        </w:rPr>
        <w:t xml:space="preserve">Because of this, only farms where infection was found were included in analyses. </w:t>
      </w:r>
      <w:r w:rsidR="007248AB" w:rsidRPr="00B06497">
        <w:rPr>
          <w:rFonts w:ascii="Century Schoolbook" w:hAnsi="Century Schoolbook"/>
        </w:rPr>
        <w:t xml:space="preserve">Across </w:t>
      </w:r>
      <w:r w:rsidR="00CB7E39">
        <w:rPr>
          <w:rFonts w:ascii="Century Schoolbook" w:hAnsi="Century Schoolbook"/>
        </w:rPr>
        <w:t>infected</w:t>
      </w:r>
      <w:r w:rsidR="007248AB" w:rsidRPr="00B06497">
        <w:rPr>
          <w:rFonts w:ascii="Century Schoolbook" w:hAnsi="Century Schoolbook"/>
        </w:rPr>
        <w:t xml:space="preserve"> farms, there were </w:t>
      </w:r>
      <w:r w:rsidR="002F451D">
        <w:rPr>
          <w:rFonts w:ascii="Century Schoolbook" w:hAnsi="Century Schoolbook"/>
        </w:rPr>
        <w:t>three</w:t>
      </w:r>
      <w:r w:rsidR="007248AB" w:rsidRPr="00B06497">
        <w:rPr>
          <w:rFonts w:ascii="Century Schoolbook" w:hAnsi="Century Schoolbook"/>
        </w:rPr>
        <w:t xml:space="preserve"> important patterns in PVY prevalence.</w:t>
      </w:r>
      <w:r w:rsidR="00311BA0">
        <w:rPr>
          <w:rFonts w:ascii="Century Schoolbook" w:hAnsi="Century Schoolbook"/>
        </w:rPr>
        <w:t xml:space="preserve"> </w:t>
      </w:r>
      <w:r w:rsidR="004548D0">
        <w:rPr>
          <w:rFonts w:ascii="Century Schoolbook" w:hAnsi="Century Schoolbook"/>
        </w:rPr>
        <w:t xml:space="preserve">First, the more aphids there were, the more </w:t>
      </w:r>
      <w:r w:rsidR="00393378">
        <w:rPr>
          <w:rFonts w:ascii="Century Schoolbook" w:hAnsi="Century Schoolbook"/>
        </w:rPr>
        <w:t>infected plants there were</w:t>
      </w:r>
      <w:r w:rsidR="004548D0">
        <w:rPr>
          <w:rFonts w:ascii="Century Schoolbook" w:hAnsi="Century Schoolbook"/>
        </w:rPr>
        <w:t xml:space="preserve">. Second, the more diverse the aphid community was (the more species there were), the </w:t>
      </w:r>
      <w:r w:rsidR="000462B9">
        <w:rPr>
          <w:rFonts w:ascii="Century Schoolbook" w:hAnsi="Century Schoolbook"/>
        </w:rPr>
        <w:t>greater the PVY prevalence</w:t>
      </w:r>
      <w:r w:rsidR="002F451D">
        <w:rPr>
          <w:rFonts w:ascii="Century Schoolbook" w:hAnsi="Century Schoolbook"/>
        </w:rPr>
        <w:t>. Finally, the more agricultural land within a 0.5</w:t>
      </w:r>
      <w:r w:rsidR="00907824">
        <w:rPr>
          <w:rFonts w:ascii="Century Schoolbook" w:hAnsi="Century Schoolbook"/>
        </w:rPr>
        <w:t>, 1, and 1.5 kilometer radius</w:t>
      </w:r>
      <w:r w:rsidR="002F451D">
        <w:rPr>
          <w:rFonts w:ascii="Century Schoolbook" w:hAnsi="Century Schoolbook"/>
        </w:rPr>
        <w:t>, the greater the PVY prevalence</w:t>
      </w:r>
      <w:r w:rsidR="006B1C25">
        <w:rPr>
          <w:rFonts w:ascii="Century Schoolbook" w:hAnsi="Century Schoolbook"/>
        </w:rPr>
        <w:t xml:space="preserve"> (see graph below)</w:t>
      </w:r>
      <w:r w:rsidR="002F451D">
        <w:rPr>
          <w:rFonts w:ascii="Century Schoolbook" w:hAnsi="Century Schoolbook"/>
        </w:rPr>
        <w:t xml:space="preserve">. </w:t>
      </w:r>
    </w:p>
    <w:p w14:paraId="642F88E6" w14:textId="77777777" w:rsidR="00D03847" w:rsidRDefault="00D03847" w:rsidP="003A1D05">
      <w:pPr>
        <w:rPr>
          <w:rFonts w:ascii="Century Schoolbook" w:hAnsi="Century Schoolbook"/>
        </w:rPr>
      </w:pPr>
    </w:p>
    <w:p w14:paraId="2CC94AD4" w14:textId="1CFB6209" w:rsidR="006B1C25" w:rsidRDefault="00E85487" w:rsidP="003A1D05">
      <w:pPr>
        <w:rPr>
          <w:rFonts w:ascii="Century Schoolbook" w:hAnsi="Century Schoolbook"/>
        </w:rPr>
      </w:pPr>
      <w:bookmarkStart w:id="0" w:name="_GoBack"/>
      <w:r>
        <w:rPr>
          <w:noProof/>
        </w:rPr>
        <w:drawing>
          <wp:inline distT="0" distB="0" distL="0" distR="0" wp14:anchorId="72ECB414" wp14:editId="7DC56809">
            <wp:extent cx="4572000" cy="2743200"/>
            <wp:effectExtent l="0" t="0" r="25400" b="2540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14:paraId="05DB8967" w14:textId="77777777" w:rsidR="00CC0400" w:rsidRPr="00CC0400" w:rsidRDefault="00CC0400" w:rsidP="003A1D05">
      <w:pPr>
        <w:rPr>
          <w:rFonts w:ascii="Century Schoolbook" w:hAnsi="Century Schoolbook"/>
          <w:sz w:val="10"/>
          <w:szCs w:val="10"/>
        </w:rPr>
      </w:pPr>
    </w:p>
    <w:p w14:paraId="165E6C8A" w14:textId="392C4BEF" w:rsidR="002E5B7A" w:rsidRPr="002E5B7A" w:rsidRDefault="002E5B7A" w:rsidP="003A1D05">
      <w:pPr>
        <w:rPr>
          <w:rFonts w:ascii="Century Schoolbook" w:hAnsi="Century Schoolbook"/>
          <w:sz w:val="22"/>
          <w:szCs w:val="22"/>
        </w:rPr>
      </w:pPr>
      <w:r w:rsidRPr="002E5B7A">
        <w:rPr>
          <w:rFonts w:ascii="Century Schoolbook" w:hAnsi="Century Schoolbook"/>
          <w:b/>
          <w:sz w:val="22"/>
          <w:szCs w:val="22"/>
        </w:rPr>
        <w:t>Figure 2:</w:t>
      </w:r>
      <w:r>
        <w:rPr>
          <w:rFonts w:ascii="Century Schoolbook" w:hAnsi="Century Schoolbook"/>
          <w:sz w:val="22"/>
          <w:szCs w:val="22"/>
        </w:rPr>
        <w:t xml:space="preserve"> </w:t>
      </w:r>
      <w:r w:rsidRPr="002E5B7A">
        <w:rPr>
          <w:rFonts w:ascii="Century Schoolbook" w:hAnsi="Century Schoolbook"/>
          <w:sz w:val="22"/>
          <w:szCs w:val="22"/>
        </w:rPr>
        <w:t>This graph shows the significant relationship between the amount of agricultural land (</w:t>
      </w:r>
      <w:r w:rsidR="006523A5">
        <w:rPr>
          <w:rFonts w:ascii="Century Schoolbook" w:hAnsi="Century Schoolbook"/>
          <w:sz w:val="22"/>
          <w:szCs w:val="22"/>
        </w:rPr>
        <w:t xml:space="preserve">percent cropland </w:t>
      </w:r>
      <w:r w:rsidRPr="002E5B7A">
        <w:rPr>
          <w:rFonts w:ascii="Century Schoolbook" w:hAnsi="Century Schoolbook"/>
          <w:sz w:val="22"/>
          <w:szCs w:val="22"/>
        </w:rPr>
        <w:t xml:space="preserve">within a 1km </w:t>
      </w:r>
      <w:r w:rsidR="00E85487">
        <w:rPr>
          <w:rFonts w:ascii="Century Schoolbook" w:hAnsi="Century Schoolbook"/>
          <w:sz w:val="22"/>
          <w:szCs w:val="22"/>
        </w:rPr>
        <w:t>in 2012 and 2013</w:t>
      </w:r>
      <w:r w:rsidRPr="002E5B7A">
        <w:rPr>
          <w:rFonts w:ascii="Century Schoolbook" w:hAnsi="Century Schoolbook"/>
          <w:sz w:val="22"/>
          <w:szCs w:val="22"/>
        </w:rPr>
        <w:t xml:space="preserve">) and the final </w:t>
      </w:r>
      <w:r w:rsidR="006523A5">
        <w:rPr>
          <w:rFonts w:ascii="Century Schoolbook" w:hAnsi="Century Schoolbook"/>
          <w:sz w:val="22"/>
          <w:szCs w:val="22"/>
        </w:rPr>
        <w:t>percent</w:t>
      </w:r>
      <w:r w:rsidRPr="002E5B7A">
        <w:rPr>
          <w:rFonts w:ascii="Century Schoolbook" w:hAnsi="Century Schoolbook"/>
          <w:sz w:val="22"/>
          <w:szCs w:val="22"/>
        </w:rPr>
        <w:t xml:space="preserve"> of </w:t>
      </w:r>
      <w:r w:rsidR="006523A5">
        <w:rPr>
          <w:rFonts w:ascii="Century Schoolbook" w:hAnsi="Century Schoolbook"/>
          <w:sz w:val="22"/>
          <w:szCs w:val="22"/>
        </w:rPr>
        <w:t xml:space="preserve">sampled </w:t>
      </w:r>
      <w:r w:rsidRPr="002E5B7A">
        <w:rPr>
          <w:rFonts w:ascii="Century Schoolbook" w:hAnsi="Century Schoolbook"/>
          <w:sz w:val="22"/>
          <w:szCs w:val="22"/>
        </w:rPr>
        <w:t>plants</w:t>
      </w:r>
      <w:r w:rsidR="006523A5">
        <w:rPr>
          <w:rFonts w:ascii="Century Schoolbook" w:hAnsi="Century Schoolbook"/>
          <w:sz w:val="22"/>
          <w:szCs w:val="22"/>
        </w:rPr>
        <w:t xml:space="preserve"> that were</w:t>
      </w:r>
      <w:r w:rsidRPr="002E5B7A">
        <w:rPr>
          <w:rFonts w:ascii="Century Schoolbook" w:hAnsi="Century Schoolbook"/>
          <w:sz w:val="22"/>
          <w:szCs w:val="22"/>
        </w:rPr>
        <w:t xml:space="preserve"> infected with PVY. </w:t>
      </w:r>
      <w:r>
        <w:rPr>
          <w:rFonts w:ascii="Century Schoolbook" w:hAnsi="Century Schoolbook"/>
          <w:sz w:val="22"/>
          <w:szCs w:val="22"/>
        </w:rPr>
        <w:t>The more agricultural land, the more infected plants at the end of the season</w:t>
      </w:r>
      <w:r w:rsidR="006523A5">
        <w:rPr>
          <w:rFonts w:ascii="Century Schoolbook" w:hAnsi="Century Schoolbook"/>
          <w:sz w:val="22"/>
          <w:szCs w:val="22"/>
        </w:rPr>
        <w:t xml:space="preserve"> on farms</w:t>
      </w:r>
      <w:r w:rsidR="00E85487">
        <w:rPr>
          <w:rFonts w:ascii="Century Schoolbook" w:hAnsi="Century Schoolbook"/>
          <w:sz w:val="22"/>
          <w:szCs w:val="22"/>
        </w:rPr>
        <w:t>,</w:t>
      </w:r>
      <w:r w:rsidR="006523A5">
        <w:rPr>
          <w:rFonts w:ascii="Century Schoolbook" w:hAnsi="Century Schoolbook"/>
          <w:sz w:val="22"/>
          <w:szCs w:val="22"/>
        </w:rPr>
        <w:t xml:space="preserve"> where the virus was present</w:t>
      </w:r>
      <w:r>
        <w:rPr>
          <w:rFonts w:ascii="Century Schoolbook" w:hAnsi="Century Schoolbook"/>
          <w:sz w:val="22"/>
          <w:szCs w:val="22"/>
        </w:rPr>
        <w:t>.</w:t>
      </w:r>
    </w:p>
    <w:p w14:paraId="228C1CB7" w14:textId="2796167F" w:rsidR="003A1D05" w:rsidRPr="00B06497" w:rsidRDefault="00701439" w:rsidP="003A1D05">
      <w:pPr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62430A" wp14:editId="4094DA74">
                <wp:simplePos x="0" y="0"/>
                <wp:positionH relativeFrom="column">
                  <wp:posOffset>0</wp:posOffset>
                </wp:positionH>
                <wp:positionV relativeFrom="paragraph">
                  <wp:posOffset>88900</wp:posOffset>
                </wp:positionV>
                <wp:extent cx="5600700" cy="0"/>
                <wp:effectExtent l="50800" t="25400" r="63500" b="1016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pt" to="441pt,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" strokecolor="black [3213]" strokeweight="2pt">
                <v:shadow on="t" opacity="24903f" mv:blur="40000f" origin=",.5" offset="0,20000emu"/>
              </v:line>
            </w:pict>
          </mc:Fallback>
        </mc:AlternateContent>
      </w:r>
    </w:p>
    <w:p w14:paraId="4188FA76" w14:textId="77777777" w:rsidR="00BF1B37" w:rsidRDefault="00BF1B37" w:rsidP="003A1D05">
      <w:pPr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Management Suggestions</w:t>
      </w:r>
    </w:p>
    <w:p w14:paraId="2DBD021F" w14:textId="77777777" w:rsidR="0051772F" w:rsidRPr="00BF1B37" w:rsidRDefault="0051772F" w:rsidP="0051772F">
      <w:pPr>
        <w:rPr>
          <w:rFonts w:ascii="Century Schoolbook" w:hAnsi="Century Schoolbook"/>
        </w:rPr>
      </w:pPr>
      <w:r w:rsidRPr="00BF1B37">
        <w:rPr>
          <w:rFonts w:ascii="Century Schoolbook" w:hAnsi="Century Schoolbook"/>
        </w:rPr>
        <w:t>The best prevention for PVY is to plant certified seed tubers, and to avoid planting saved seed. Saved seed has</w:t>
      </w:r>
      <w:r>
        <w:rPr>
          <w:rFonts w:ascii="Century Schoolbook" w:hAnsi="Century Schoolbook"/>
        </w:rPr>
        <w:t xml:space="preserve"> not</w:t>
      </w:r>
      <w:r w:rsidRPr="00BF1B37">
        <w:rPr>
          <w:rFonts w:ascii="Century Schoolbook" w:hAnsi="Century Schoolbook"/>
        </w:rPr>
        <w:t xml:space="preserve"> been</w:t>
      </w:r>
      <w:r>
        <w:rPr>
          <w:rFonts w:ascii="Century Schoolbook" w:hAnsi="Century Schoolbook"/>
        </w:rPr>
        <w:t xml:space="preserve"> inspected for PVY, and it has been</w:t>
      </w:r>
      <w:r w:rsidRPr="00BF1B37">
        <w:rPr>
          <w:rFonts w:ascii="Century Schoolbook" w:hAnsi="Century Schoolbook"/>
        </w:rPr>
        <w:t xml:space="preserve"> exposed to aphids, and over time the amount of PVY in the seed stock will increase due to within-season spread. </w:t>
      </w:r>
      <w:r>
        <w:rPr>
          <w:rFonts w:ascii="Century Schoolbook" w:hAnsi="Century Schoolbook"/>
        </w:rPr>
        <w:t xml:space="preserve">This is especially important if the area surrounding your farm is predominately agricultural. For more information, visit: </w:t>
      </w:r>
      <w:r w:rsidRPr="007069F3">
        <w:rPr>
          <w:rFonts w:ascii="Century Schoolbook" w:hAnsi="Century Schoolbook"/>
        </w:rPr>
        <w:t>http://www.potatovirus.com/index.cfm/page/index.htm</w:t>
      </w:r>
      <w:r>
        <w:rPr>
          <w:rFonts w:ascii="Century Schoolbook" w:hAnsi="Century Schoolbook"/>
        </w:rPr>
        <w:t>.</w:t>
      </w:r>
    </w:p>
    <w:p w14:paraId="071B15B1" w14:textId="77777777" w:rsidR="00BF1B37" w:rsidRDefault="00BF1B37" w:rsidP="003A1D05">
      <w:pPr>
        <w:rPr>
          <w:rFonts w:ascii="Century Schoolbook" w:hAnsi="Century Schoolbook"/>
          <w:b/>
          <w:sz w:val="28"/>
          <w:szCs w:val="28"/>
        </w:rPr>
      </w:pPr>
    </w:p>
    <w:p w14:paraId="74366940" w14:textId="3A165DD9" w:rsidR="003A1D05" w:rsidRPr="00CC0400" w:rsidRDefault="00ED7214" w:rsidP="007069F3">
      <w:pPr>
        <w:jc w:val="center"/>
        <w:rPr>
          <w:rFonts w:ascii="Century Schoolbook" w:hAnsi="Century Schoolbook"/>
          <w:b/>
          <w:sz w:val="28"/>
          <w:szCs w:val="28"/>
        </w:rPr>
      </w:pPr>
      <w:r w:rsidRPr="00CC0400">
        <w:rPr>
          <w:rFonts w:ascii="Century Schoolbook" w:hAnsi="Century Schoolbook"/>
          <w:b/>
          <w:sz w:val="28"/>
          <w:szCs w:val="28"/>
        </w:rPr>
        <w:t>Thank you for</w:t>
      </w:r>
      <w:r w:rsidR="006F636A" w:rsidRPr="00CC0400">
        <w:rPr>
          <w:rFonts w:ascii="Century Schoolbook" w:hAnsi="Century Schoolbook"/>
          <w:b/>
          <w:sz w:val="28"/>
          <w:szCs w:val="28"/>
        </w:rPr>
        <w:t xml:space="preserve"> participating in my research; t</w:t>
      </w:r>
      <w:r w:rsidRPr="00CC0400">
        <w:rPr>
          <w:rFonts w:ascii="Century Schoolbook" w:hAnsi="Century Schoolbook"/>
          <w:b/>
          <w:sz w:val="28"/>
          <w:szCs w:val="28"/>
        </w:rPr>
        <w:t>his project would not have happened without your help</w:t>
      </w:r>
      <w:r w:rsidR="006F636A" w:rsidRPr="00CC0400">
        <w:rPr>
          <w:rFonts w:ascii="Century Schoolbook" w:hAnsi="Century Schoolbook"/>
          <w:b/>
          <w:sz w:val="28"/>
          <w:szCs w:val="28"/>
        </w:rPr>
        <w:t>!</w:t>
      </w:r>
    </w:p>
    <w:p w14:paraId="6670B51B" w14:textId="77777777" w:rsidR="003A1D05" w:rsidRPr="00CC0400" w:rsidRDefault="003A1D05" w:rsidP="003A1D05">
      <w:pPr>
        <w:rPr>
          <w:rFonts w:ascii="Century Schoolbook" w:hAnsi="Century Schoolbook"/>
          <w:sz w:val="28"/>
          <w:szCs w:val="28"/>
        </w:rPr>
      </w:pPr>
    </w:p>
    <w:sectPr w:rsidR="003A1D05" w:rsidRPr="00CC0400" w:rsidSect="00530EC9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F4A76A" w14:textId="77777777" w:rsidR="001066ED" w:rsidRDefault="001066ED" w:rsidP="00050B7F">
      <w:r>
        <w:separator/>
      </w:r>
    </w:p>
  </w:endnote>
  <w:endnote w:type="continuationSeparator" w:id="0">
    <w:p w14:paraId="23B6B46F" w14:textId="77777777" w:rsidR="001066ED" w:rsidRDefault="001066ED" w:rsidP="00050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altName w:val="Times New Roman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45FFC7" w14:textId="77777777" w:rsidR="001066ED" w:rsidRDefault="001066ED" w:rsidP="00BB2F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35352E" w14:textId="77777777" w:rsidR="001066ED" w:rsidRDefault="001066E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D5D80" w14:textId="77777777" w:rsidR="001066ED" w:rsidRPr="00050B7F" w:rsidRDefault="001066ED" w:rsidP="00BB2F3C">
    <w:pPr>
      <w:pStyle w:val="Footer"/>
      <w:framePr w:wrap="around" w:vAnchor="text" w:hAnchor="margin" w:xAlign="center" w:y="1"/>
      <w:rPr>
        <w:rStyle w:val="PageNumber"/>
        <w:rFonts w:ascii="Century Schoolbook" w:hAnsi="Century Schoolbook"/>
      </w:rPr>
    </w:pPr>
    <w:r w:rsidRPr="00050B7F">
      <w:rPr>
        <w:rStyle w:val="PageNumber"/>
        <w:rFonts w:ascii="Century Schoolbook" w:hAnsi="Century Schoolbook"/>
      </w:rPr>
      <w:fldChar w:fldCharType="begin"/>
    </w:r>
    <w:r w:rsidRPr="00050B7F">
      <w:rPr>
        <w:rStyle w:val="PageNumber"/>
        <w:rFonts w:ascii="Century Schoolbook" w:hAnsi="Century Schoolbook"/>
      </w:rPr>
      <w:instrText xml:space="preserve">PAGE  </w:instrText>
    </w:r>
    <w:r w:rsidRPr="00050B7F">
      <w:rPr>
        <w:rStyle w:val="PageNumber"/>
        <w:rFonts w:ascii="Century Schoolbook" w:hAnsi="Century Schoolbook"/>
      </w:rPr>
      <w:fldChar w:fldCharType="separate"/>
    </w:r>
    <w:r w:rsidR="00C144D8">
      <w:rPr>
        <w:rStyle w:val="PageNumber"/>
        <w:rFonts w:ascii="Century Schoolbook" w:hAnsi="Century Schoolbook"/>
        <w:noProof/>
      </w:rPr>
      <w:t>1</w:t>
    </w:r>
    <w:r w:rsidRPr="00050B7F">
      <w:rPr>
        <w:rStyle w:val="PageNumber"/>
        <w:rFonts w:ascii="Century Schoolbook" w:hAnsi="Century Schoolbook"/>
      </w:rPr>
      <w:fldChar w:fldCharType="end"/>
    </w:r>
  </w:p>
  <w:p w14:paraId="397B8941" w14:textId="6EC0775C" w:rsidR="001066ED" w:rsidRPr="00D62AD1" w:rsidRDefault="001066ED">
    <w:pPr>
      <w:pStyle w:val="Footer"/>
      <w:rPr>
        <w:rFonts w:ascii="Century Schoolbook" w:hAnsi="Century Schoolbook"/>
        <w:sz w:val="22"/>
        <w:szCs w:val="22"/>
      </w:rPr>
    </w:pPr>
    <w:r w:rsidRPr="00D62AD1">
      <w:rPr>
        <w:rFonts w:ascii="Century Schoolbook" w:hAnsi="Century Schoolbook"/>
        <w:sz w:val="22"/>
        <w:szCs w:val="22"/>
      </w:rPr>
      <w:t>Suzi Claflin (sbc89@cornell.edu)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EFE4E8" w14:textId="77777777" w:rsidR="001066ED" w:rsidRDefault="001066ED" w:rsidP="00050B7F">
      <w:r>
        <w:separator/>
      </w:r>
    </w:p>
  </w:footnote>
  <w:footnote w:type="continuationSeparator" w:id="0">
    <w:p w14:paraId="64DC0175" w14:textId="77777777" w:rsidR="001066ED" w:rsidRDefault="001066ED" w:rsidP="00050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8D3"/>
    <w:rsid w:val="00035341"/>
    <w:rsid w:val="000462B9"/>
    <w:rsid w:val="00050B7F"/>
    <w:rsid w:val="000F70BD"/>
    <w:rsid w:val="001066ED"/>
    <w:rsid w:val="00180F15"/>
    <w:rsid w:val="002A789F"/>
    <w:rsid w:val="002E5B7A"/>
    <w:rsid w:val="002F451D"/>
    <w:rsid w:val="00311BA0"/>
    <w:rsid w:val="00353771"/>
    <w:rsid w:val="00393378"/>
    <w:rsid w:val="003A1D05"/>
    <w:rsid w:val="003C1A01"/>
    <w:rsid w:val="004548D0"/>
    <w:rsid w:val="004C1F9F"/>
    <w:rsid w:val="00510569"/>
    <w:rsid w:val="0051772F"/>
    <w:rsid w:val="00530EC9"/>
    <w:rsid w:val="00592EAF"/>
    <w:rsid w:val="005D0091"/>
    <w:rsid w:val="005F3098"/>
    <w:rsid w:val="006523A5"/>
    <w:rsid w:val="006A7CB8"/>
    <w:rsid w:val="006B1C25"/>
    <w:rsid w:val="006F636A"/>
    <w:rsid w:val="00701439"/>
    <w:rsid w:val="00705B97"/>
    <w:rsid w:val="007069F3"/>
    <w:rsid w:val="00713EEC"/>
    <w:rsid w:val="007248AB"/>
    <w:rsid w:val="0072681D"/>
    <w:rsid w:val="00727544"/>
    <w:rsid w:val="00815C12"/>
    <w:rsid w:val="00877456"/>
    <w:rsid w:val="00900AFE"/>
    <w:rsid w:val="00903A98"/>
    <w:rsid w:val="00907824"/>
    <w:rsid w:val="0094436E"/>
    <w:rsid w:val="009B61B9"/>
    <w:rsid w:val="009C35E2"/>
    <w:rsid w:val="00A45072"/>
    <w:rsid w:val="00A558D3"/>
    <w:rsid w:val="00AF3826"/>
    <w:rsid w:val="00B06497"/>
    <w:rsid w:val="00B93428"/>
    <w:rsid w:val="00BB1BA8"/>
    <w:rsid w:val="00BB2F3C"/>
    <w:rsid w:val="00BD5DB4"/>
    <w:rsid w:val="00BE6495"/>
    <w:rsid w:val="00BF1B37"/>
    <w:rsid w:val="00BF75C1"/>
    <w:rsid w:val="00C04653"/>
    <w:rsid w:val="00C121AB"/>
    <w:rsid w:val="00C144D8"/>
    <w:rsid w:val="00CA7523"/>
    <w:rsid w:val="00CB7E39"/>
    <w:rsid w:val="00CC0400"/>
    <w:rsid w:val="00D03847"/>
    <w:rsid w:val="00D54D84"/>
    <w:rsid w:val="00D62AD1"/>
    <w:rsid w:val="00E85487"/>
    <w:rsid w:val="00EC1331"/>
    <w:rsid w:val="00ED7214"/>
    <w:rsid w:val="00F54B4B"/>
    <w:rsid w:val="00FD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7147E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78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824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50B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0B7F"/>
  </w:style>
  <w:style w:type="character" w:styleId="PageNumber">
    <w:name w:val="page number"/>
    <w:basedOn w:val="DefaultParagraphFont"/>
    <w:uiPriority w:val="99"/>
    <w:semiHidden/>
    <w:unhideWhenUsed/>
    <w:rsid w:val="00050B7F"/>
  </w:style>
  <w:style w:type="paragraph" w:styleId="Header">
    <w:name w:val="header"/>
    <w:basedOn w:val="Normal"/>
    <w:link w:val="HeaderChar"/>
    <w:uiPriority w:val="99"/>
    <w:unhideWhenUsed/>
    <w:rsid w:val="00050B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0B7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78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824"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50B7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0B7F"/>
  </w:style>
  <w:style w:type="character" w:styleId="PageNumber">
    <w:name w:val="page number"/>
    <w:basedOn w:val="DefaultParagraphFont"/>
    <w:uiPriority w:val="99"/>
    <w:semiHidden/>
    <w:unhideWhenUsed/>
    <w:rsid w:val="00050B7F"/>
  </w:style>
  <w:style w:type="paragraph" w:styleId="Header">
    <w:name w:val="header"/>
    <w:basedOn w:val="Normal"/>
    <w:link w:val="HeaderChar"/>
    <w:uiPriority w:val="99"/>
    <w:unhideWhenUsed/>
    <w:rsid w:val="00050B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chart" Target="charts/chart1.xml"/><Relationship Id="rId8" Type="http://schemas.openxmlformats.org/officeDocument/2006/relationships/chart" Target="charts/chart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suziclaflin:Desktop:Factsheets:FactSheetFigure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suziclaflin:Desktop:Factsheets:FactSheetFigure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plotArea>
      <c:layout/>
      <c:scatterChart>
        <c:scatterStyle val="smoothMarker"/>
        <c:varyColors val="0"/>
        <c:ser>
          <c:idx val="0"/>
          <c:order val="0"/>
          <c:tx>
            <c:v>2012</c:v>
          </c:tx>
          <c:spPr>
            <a:ln>
              <a:solidFill>
                <a:schemeClr val="tx1"/>
              </a:solidFill>
            </a:ln>
          </c:spPr>
          <c:marker>
            <c:symbol val="diamond"/>
            <c:size val="9"/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xVal>
            <c:numRef>
              <c:f>EG!$B$2:$B$4</c:f>
              <c:numCache>
                <c:formatCode>General</c:formatCode>
                <c:ptCount val="3"/>
                <c:pt idx="0">
                  <c:v>5.0</c:v>
                </c:pt>
                <c:pt idx="1">
                  <c:v>6.0</c:v>
                </c:pt>
                <c:pt idx="2">
                  <c:v>7.0</c:v>
                </c:pt>
              </c:numCache>
            </c:numRef>
          </c:xVal>
          <c:yVal>
            <c:numRef>
              <c:f>EG!$C$2:$C$4</c:f>
              <c:numCache>
                <c:formatCode>General</c:formatCode>
                <c:ptCount val="3"/>
                <c:pt idx="0">
                  <c:v>5.7</c:v>
                </c:pt>
                <c:pt idx="1">
                  <c:v>0.96</c:v>
                </c:pt>
                <c:pt idx="2">
                  <c:v>0.19</c:v>
                </c:pt>
              </c:numCache>
            </c:numRef>
          </c:yVal>
          <c:smooth val="1"/>
        </c:ser>
        <c:ser>
          <c:idx val="1"/>
          <c:order val="1"/>
          <c:tx>
            <c:v>2013</c:v>
          </c:tx>
          <c:spPr>
            <a:ln>
              <a:solidFill>
                <a:schemeClr val="tx1"/>
              </a:solidFill>
              <a:prstDash val="sysDot"/>
            </a:ln>
          </c:spPr>
          <c:marker>
            <c:symbol val="square"/>
            <c:size val="9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</c:spPr>
          </c:marker>
          <c:xVal>
            <c:numRef>
              <c:f>EG!$B$5:$B$7</c:f>
              <c:numCache>
                <c:formatCode>General</c:formatCode>
                <c:ptCount val="3"/>
                <c:pt idx="0">
                  <c:v>5.0</c:v>
                </c:pt>
                <c:pt idx="1">
                  <c:v>6.0</c:v>
                </c:pt>
                <c:pt idx="2">
                  <c:v>7.0</c:v>
                </c:pt>
              </c:numCache>
            </c:numRef>
          </c:xVal>
          <c:yVal>
            <c:numRef>
              <c:f>EG!$C$5:$C$7</c:f>
              <c:numCache>
                <c:formatCode>General</c:formatCode>
                <c:ptCount val="3"/>
                <c:pt idx="0">
                  <c:v>2.333333333333333</c:v>
                </c:pt>
                <c:pt idx="1">
                  <c:v>0.418604651162791</c:v>
                </c:pt>
                <c:pt idx="2">
                  <c:v>2.615384615384615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92557576"/>
        <c:axId val="2077992344"/>
      </c:scatterChart>
      <c:valAx>
        <c:axId val="2092557576"/>
        <c:scaling>
          <c:orientation val="minMax"/>
          <c:min val="4.0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Month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077992344"/>
        <c:crosses val="autoZero"/>
        <c:crossBetween val="midCat"/>
        <c:majorUnit val="1.0"/>
      </c:valAx>
      <c:valAx>
        <c:axId val="2077992344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Number of Aphids per Trap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092557576"/>
        <c:crosses val="autoZero"/>
        <c:crossBetween val="midCat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742782152231"/>
          <c:y val="0.0601851851851852"/>
          <c:w val="0.826159886264217"/>
          <c:h val="0.833333333333333"/>
        </c:manualLayout>
      </c:layout>
      <c:scatterChart>
        <c:scatterStyle val="lineMarker"/>
        <c:varyColors val="0"/>
        <c:ser>
          <c:idx val="0"/>
          <c:order val="0"/>
          <c:tx>
            <c:v>2012</c:v>
          </c:tx>
          <c:spPr>
            <a:ln w="47625">
              <a:noFill/>
            </a:ln>
          </c:spPr>
          <c:marker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trendline>
            <c:spPr>
              <a:ln w="19050"/>
            </c:spPr>
            <c:trendlineType val="linear"/>
            <c:dispRSqr val="0"/>
            <c:dispEq val="0"/>
          </c:trendline>
          <c:xVal>
            <c:numRef>
              <c:f>Overall!$D$2:$D$12</c:f>
              <c:numCache>
                <c:formatCode>General</c:formatCode>
                <c:ptCount val="11"/>
                <c:pt idx="0">
                  <c:v>44.01489117999999</c:v>
                </c:pt>
                <c:pt idx="1">
                  <c:v>16.17520756</c:v>
                </c:pt>
                <c:pt idx="2">
                  <c:v>52.8956422</c:v>
                </c:pt>
                <c:pt idx="3">
                  <c:v>54.62112514</c:v>
                </c:pt>
                <c:pt idx="4">
                  <c:v>7.124463518999997</c:v>
                </c:pt>
                <c:pt idx="5">
                  <c:v>58.03212851</c:v>
                </c:pt>
                <c:pt idx="6">
                  <c:v>24.79244202999998</c:v>
                </c:pt>
                <c:pt idx="7">
                  <c:v>36.16532721</c:v>
                </c:pt>
                <c:pt idx="8">
                  <c:v>42.34518349</c:v>
                </c:pt>
                <c:pt idx="9">
                  <c:v>36.47834815</c:v>
                </c:pt>
                <c:pt idx="10">
                  <c:v>32.41616509</c:v>
                </c:pt>
              </c:numCache>
            </c:numRef>
          </c:xVal>
          <c:yVal>
            <c:numRef>
              <c:f>Overall!$E$2:$E$12</c:f>
              <c:numCache>
                <c:formatCode>General</c:formatCode>
                <c:ptCount val="11"/>
                <c:pt idx="0">
                  <c:v>15.0</c:v>
                </c:pt>
                <c:pt idx="1">
                  <c:v>5.0</c:v>
                </c:pt>
                <c:pt idx="2">
                  <c:v>40.0</c:v>
                </c:pt>
                <c:pt idx="3">
                  <c:v>25.0</c:v>
                </c:pt>
                <c:pt idx="4">
                  <c:v>2.5</c:v>
                </c:pt>
                <c:pt idx="5">
                  <c:v>45.0</c:v>
                </c:pt>
                <c:pt idx="6">
                  <c:v>10.0</c:v>
                </c:pt>
                <c:pt idx="7">
                  <c:v>7.5</c:v>
                </c:pt>
                <c:pt idx="8">
                  <c:v>5.0</c:v>
                </c:pt>
                <c:pt idx="9">
                  <c:v>2.5</c:v>
                </c:pt>
                <c:pt idx="10">
                  <c:v>15.0</c:v>
                </c:pt>
              </c:numCache>
            </c:numRef>
          </c:yVal>
          <c:smooth val="0"/>
        </c:ser>
        <c:ser>
          <c:idx val="1"/>
          <c:order val="1"/>
          <c:tx>
            <c:v>2013</c:v>
          </c:tx>
          <c:spPr>
            <a:ln w="47625">
              <a:noFill/>
            </a:ln>
          </c:spPr>
          <c:marker>
            <c:symbol val="square"/>
            <c:size val="9"/>
            <c:spPr>
              <a:solidFill>
                <a:schemeClr val="bg1"/>
              </a:solidFill>
              <a:ln>
                <a:solidFill>
                  <a:schemeClr val="tx1"/>
                </a:solidFill>
              </a:ln>
            </c:spPr>
          </c:marker>
          <c:trendline>
            <c:spPr>
              <a:ln w="19050">
                <a:prstDash val="sysDot"/>
              </a:ln>
            </c:spPr>
            <c:trendlineType val="linear"/>
            <c:dispRSqr val="0"/>
            <c:dispEq val="0"/>
          </c:trendline>
          <c:xVal>
            <c:numRef>
              <c:f>Overall!$D$13:$D$25</c:f>
              <c:numCache>
                <c:formatCode>General</c:formatCode>
                <c:ptCount val="13"/>
                <c:pt idx="0">
                  <c:v>47.86594099</c:v>
                </c:pt>
                <c:pt idx="1">
                  <c:v>67.92885828999998</c:v>
                </c:pt>
                <c:pt idx="2">
                  <c:v>77.84465463</c:v>
                </c:pt>
                <c:pt idx="3">
                  <c:v>23.75358166</c:v>
                </c:pt>
                <c:pt idx="4">
                  <c:v>55.53965073</c:v>
                </c:pt>
                <c:pt idx="5">
                  <c:v>12.3495702</c:v>
                </c:pt>
                <c:pt idx="6">
                  <c:v>5.020080320999997</c:v>
                </c:pt>
                <c:pt idx="7">
                  <c:v>77.64705882</c:v>
                </c:pt>
                <c:pt idx="8">
                  <c:v>39.29593589</c:v>
                </c:pt>
                <c:pt idx="9">
                  <c:v>50.91795754</c:v>
                </c:pt>
                <c:pt idx="10">
                  <c:v>64.54753723</c:v>
                </c:pt>
                <c:pt idx="11">
                  <c:v>32.59810942</c:v>
                </c:pt>
                <c:pt idx="12">
                  <c:v>50.10043042</c:v>
                </c:pt>
              </c:numCache>
            </c:numRef>
          </c:xVal>
          <c:yVal>
            <c:numRef>
              <c:f>Overall!$E$13:$E$25</c:f>
              <c:numCache>
                <c:formatCode>General</c:formatCode>
                <c:ptCount val="13"/>
                <c:pt idx="0">
                  <c:v>10.0</c:v>
                </c:pt>
                <c:pt idx="1">
                  <c:v>5.1</c:v>
                </c:pt>
                <c:pt idx="2">
                  <c:v>20.0</c:v>
                </c:pt>
                <c:pt idx="3">
                  <c:v>2.5</c:v>
                </c:pt>
                <c:pt idx="4">
                  <c:v>60.0</c:v>
                </c:pt>
                <c:pt idx="5">
                  <c:v>15.8</c:v>
                </c:pt>
                <c:pt idx="6">
                  <c:v>2.9</c:v>
                </c:pt>
                <c:pt idx="7">
                  <c:v>75.0</c:v>
                </c:pt>
                <c:pt idx="8">
                  <c:v>10.0</c:v>
                </c:pt>
                <c:pt idx="9">
                  <c:v>27.5</c:v>
                </c:pt>
                <c:pt idx="10">
                  <c:v>10.8</c:v>
                </c:pt>
                <c:pt idx="11">
                  <c:v>5.0</c:v>
                </c:pt>
                <c:pt idx="12">
                  <c:v>10.0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76035672"/>
        <c:axId val="2076041384"/>
      </c:scatterChart>
      <c:valAx>
        <c:axId val="207603567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Percent</a:t>
                </a:r>
                <a:r>
                  <a:rPr lang="en-US" baseline="0"/>
                  <a:t> Cropland</a:t>
                </a:r>
                <a:endParaRPr lang="en-US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076041384"/>
        <c:crosses val="autoZero"/>
        <c:crossBetween val="midCat"/>
      </c:valAx>
      <c:valAx>
        <c:axId val="2076041384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Percent</a:t>
                </a:r>
                <a:r>
                  <a:rPr lang="en-US" baseline="0"/>
                  <a:t> of Plants Infected with PVY</a:t>
                </a:r>
                <a:endParaRPr lang="en-US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076035672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160823709536308"/>
          <c:y val="0.073306357538641"/>
          <c:w val="0.258620734908136"/>
          <c:h val="0.37190580344123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2685</Characters>
  <Application>Microsoft Macintosh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Suzi Claflin</dc:creator>
  <cp:keywords/>
  <dc:description/>
  <cp:lastModifiedBy>Editor  </cp:lastModifiedBy>
  <cp:revision>2</cp:revision>
  <dcterms:created xsi:type="dcterms:W3CDTF">2016-05-10T01:59:00Z</dcterms:created>
  <dcterms:modified xsi:type="dcterms:W3CDTF">2016-05-10T01:59:00Z</dcterms:modified>
</cp:coreProperties>
</file>