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3.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4.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5C3" w:rsidRPr="0009570B" w:rsidRDefault="008E45C3" w:rsidP="008E45C3">
      <w:pPr>
        <w:pStyle w:val="Heading2"/>
      </w:pPr>
      <w:bookmarkStart w:id="0" w:name="_Toc465640756"/>
      <w:bookmarkStart w:id="1" w:name="_Ref465600826"/>
      <w:bookmarkStart w:id="2" w:name="_Toc465600948"/>
      <w:bookmarkStart w:id="3" w:name="_GoBack"/>
      <w:bookmarkEnd w:id="3"/>
      <w:r>
        <w:t>Tables and Figures</w:t>
      </w:r>
      <w:bookmarkEnd w:id="0"/>
    </w:p>
    <w:p w:rsidR="008E45C3" w:rsidRPr="00197637" w:rsidRDefault="008E45C3" w:rsidP="008E45C3">
      <w:pPr>
        <w:pStyle w:val="Caption"/>
      </w:pPr>
      <w:bookmarkStart w:id="4" w:name="_Ref465674008"/>
      <w:bookmarkStart w:id="5" w:name="_Toc465640549"/>
      <w:r>
        <w:t xml:space="preserve">Figure </w:t>
      </w:r>
      <w:r>
        <w:fldChar w:fldCharType="begin"/>
      </w:r>
      <w:r>
        <w:instrText xml:space="preserve"> SEQ Figure \* ARABIC </w:instrText>
      </w:r>
      <w:r>
        <w:fldChar w:fldCharType="separate"/>
      </w:r>
      <w:r>
        <w:rPr>
          <w:noProof/>
        </w:rPr>
        <w:t>1</w:t>
      </w:r>
      <w:r>
        <w:rPr>
          <w:noProof/>
        </w:rPr>
        <w:fldChar w:fldCharType="end"/>
      </w:r>
      <w:bookmarkEnd w:id="1"/>
      <w:bookmarkEnd w:id="4"/>
      <w:r>
        <w:t>.</w:t>
      </w:r>
      <w:bookmarkEnd w:id="2"/>
      <w:bookmarkEnd w:id="5"/>
      <w:r>
        <w:t xml:space="preserve"> </w:t>
      </w:r>
      <w:r w:rsidRPr="00197637">
        <w:fldChar w:fldCharType="begin"/>
      </w:r>
      <w:r w:rsidRPr="00197637">
        <w:instrText xml:space="preserve"> XE "Figure 1.2.:Cover crop height, 2014-2015." </w:instrText>
      </w:r>
      <w:r w:rsidRPr="00197637">
        <w:fldChar w:fldCharType="end"/>
      </w:r>
      <w:r w:rsidRPr="00197637">
        <w:t>Cover crop height (cm) measured on 28 Mar. 2014 and 28 Mar. 2015, 132 and 128 days after planting, respectively, in a high tunnel in Fayetteville, Ar. Mean separation was performed by LSD at P &lt; 0.05. n = 3 experimental units. Letters represent differences between means for year x treatment combinations.</w:t>
      </w:r>
    </w:p>
    <w:p w:rsidR="008E45C3" w:rsidRDefault="008E45C3" w:rsidP="008E45C3">
      <w:pPr>
        <w:pStyle w:val="MediumGrid1-Accent21"/>
        <w:spacing w:line="480" w:lineRule="auto"/>
        <w:ind w:left="0"/>
      </w:pPr>
      <w:r>
        <w:rPr>
          <w:noProof/>
        </w:rPr>
        <w:drawing>
          <wp:inline distT="0" distB="0" distL="0" distR="0" wp14:anchorId="5B3675B9" wp14:editId="534F1C10">
            <wp:extent cx="4572000" cy="33528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E45C3" w:rsidRPr="0009570B" w:rsidRDefault="008E45C3" w:rsidP="008E45C3">
      <w:pPr>
        <w:pStyle w:val="Caption"/>
        <w:rPr>
          <w:sz w:val="24"/>
        </w:rPr>
      </w:pPr>
      <w:r>
        <w:br w:type="page"/>
      </w:r>
      <w:bookmarkStart w:id="6" w:name="_Ref465674011"/>
      <w:bookmarkStart w:id="7" w:name="_Toc465600625"/>
      <w:bookmarkStart w:id="8" w:name="_Toc465600949"/>
      <w:bookmarkStart w:id="9" w:name="_Toc465640550"/>
      <w:r>
        <w:lastRenderedPageBreak/>
        <w:t xml:space="preserve">Figure </w:t>
      </w:r>
      <w:r>
        <w:fldChar w:fldCharType="begin"/>
      </w:r>
      <w:r>
        <w:instrText xml:space="preserve"> SEQ Figure \* ARABIC </w:instrText>
      </w:r>
      <w:r>
        <w:fldChar w:fldCharType="separate"/>
      </w:r>
      <w:r>
        <w:rPr>
          <w:noProof/>
        </w:rPr>
        <w:t>2</w:t>
      </w:r>
      <w:r>
        <w:rPr>
          <w:noProof/>
        </w:rPr>
        <w:fldChar w:fldCharType="end"/>
      </w:r>
      <w:bookmarkEnd w:id="6"/>
      <w:r>
        <w:t xml:space="preserve">. </w:t>
      </w:r>
      <w:r>
        <w:fldChar w:fldCharType="begin"/>
      </w:r>
      <w:r>
        <w:instrText xml:space="preserve"> XE "</w:instrText>
      </w:r>
      <w:r w:rsidRPr="008848C8">
        <w:instrText>Figure 1.3.:Cover crop aerial dry biomass 2014-2015.</w:instrText>
      </w:r>
      <w:r>
        <w:instrText xml:space="preserve">" </w:instrText>
      </w:r>
      <w:r>
        <w:fldChar w:fldCharType="end"/>
      </w:r>
      <w:r>
        <w:t>Cover crop aerial dry biomass (g/m</w:t>
      </w:r>
      <w:r>
        <w:rPr>
          <w:vertAlign w:val="superscript"/>
        </w:rPr>
        <w:t>2</w:t>
      </w:r>
      <w:r>
        <w:t>) sampled on 28 Mar. 2014 and 28 Mar. 2015, 132 and 128 days after planting, respectively, in a high tunnel in Fayetteville, Ar. Mean separation was performed by LSD at P &lt; 0.05. n = 3 experimental units. Letters represent differences between means for year x treatment combinations.</w:t>
      </w:r>
      <w:bookmarkEnd w:id="7"/>
      <w:bookmarkEnd w:id="8"/>
      <w:bookmarkEnd w:id="9"/>
    </w:p>
    <w:p w:rsidR="008E45C3" w:rsidRDefault="008E45C3" w:rsidP="008E45C3">
      <w:pPr>
        <w:pStyle w:val="MediumGrid1-Accent21"/>
        <w:spacing w:line="480" w:lineRule="auto"/>
        <w:ind w:left="0"/>
      </w:pPr>
      <w:r>
        <w:rPr>
          <w:noProof/>
        </w:rPr>
        <w:drawing>
          <wp:inline distT="0" distB="0" distL="0" distR="0" wp14:anchorId="1CF47432" wp14:editId="691A6898">
            <wp:extent cx="45720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E45C3" w:rsidRDefault="008E45C3" w:rsidP="008E45C3">
      <w:pPr>
        <w:rPr>
          <w:rFonts w:ascii="Times New Roman" w:hAnsi="Times New Roman"/>
          <w:sz w:val="24"/>
        </w:rPr>
      </w:pPr>
      <w:r>
        <w:br w:type="page"/>
      </w:r>
    </w:p>
    <w:p w:rsidR="008E45C3" w:rsidRDefault="008E45C3" w:rsidP="008E45C3">
      <w:pPr>
        <w:pStyle w:val="Caption"/>
        <w:keepNext/>
      </w:pPr>
      <w:bookmarkStart w:id="10" w:name="_Ref465627278"/>
      <w:bookmarkStart w:id="11" w:name="_Toc465640648"/>
      <w:r>
        <w:lastRenderedPageBreak/>
        <w:t xml:space="preserve">Table </w:t>
      </w:r>
      <w:r>
        <w:fldChar w:fldCharType="begin"/>
      </w:r>
      <w:r>
        <w:instrText xml:space="preserve"> SEQ Table \* ARABIC </w:instrText>
      </w:r>
      <w:r>
        <w:fldChar w:fldCharType="separate"/>
      </w:r>
      <w:r>
        <w:rPr>
          <w:noProof/>
        </w:rPr>
        <w:t>1</w:t>
      </w:r>
      <w:r>
        <w:rPr>
          <w:noProof/>
        </w:rPr>
        <w:fldChar w:fldCharType="end"/>
      </w:r>
      <w:bookmarkEnd w:id="10"/>
      <w:r>
        <w:t>. Correlation between cover crop variables and parameters, as measured from Austrian winter peas, bell beans, ‘Kodiak’ mustard, and ‘Daikon’ radish grown in a high tunnel in Fayetteville, AR during the winter seasons of 2013-2014 and 2014-2015. For each relationship the Pearson Correlation Coefficients (PCC), p-value, and number of observations (n) are included in the table. Bolded cells are considered significant with a p-value under 0.10. Analysis was conducted with PROC CORR in SAS 9.4.</w:t>
      </w:r>
      <w:bookmarkEnd w:id="11"/>
    </w:p>
    <w:p w:rsidR="008E45C3" w:rsidRPr="00D9599A" w:rsidRDefault="008E45C3" w:rsidP="008E45C3"/>
    <w:p w:rsidR="008E45C3" w:rsidRDefault="008E45C3" w:rsidP="008E45C3">
      <w:bookmarkStart w:id="12" w:name="_Ref465601645"/>
      <w:r w:rsidRPr="00D9599A">
        <w:rPr>
          <w:noProof/>
        </w:rPr>
        <w:drawing>
          <wp:inline distT="0" distB="0" distL="0" distR="0" wp14:anchorId="352B8588" wp14:editId="61AE84FA">
            <wp:extent cx="5521325" cy="4951730"/>
            <wp:effectExtent l="0" t="0" r="317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1325" cy="4951730"/>
                    </a:xfrm>
                    <a:prstGeom prst="rect">
                      <a:avLst/>
                    </a:prstGeom>
                    <a:noFill/>
                    <a:ln>
                      <a:noFill/>
                    </a:ln>
                  </pic:spPr>
                </pic:pic>
              </a:graphicData>
            </a:graphic>
          </wp:inline>
        </w:drawing>
      </w:r>
      <w:r>
        <w:fldChar w:fldCharType="begin"/>
      </w:r>
      <w:r>
        <w:instrText xml:space="preserve"> LINK Excel.Sheet.12 "C:\\Users\\lukef\\Documents\\Masters Thesis\\Table 1. Cover crop correlation.xlsx" Sheet1!R1C1:R25C10 \a \f 4 \h  \* MERGEFORMAT </w:instrText>
      </w:r>
      <w:r>
        <w:fldChar w:fldCharType="separate"/>
      </w:r>
    </w:p>
    <w:p w:rsidR="008E45C3" w:rsidRDefault="008E45C3" w:rsidP="008E45C3">
      <w:r>
        <w:fldChar w:fldCharType="end"/>
      </w:r>
      <w:r>
        <w:br w:type="page"/>
      </w:r>
    </w:p>
    <w:p w:rsidR="008E45C3" w:rsidRPr="0009570B" w:rsidRDefault="008E45C3" w:rsidP="008E45C3">
      <w:pPr>
        <w:pStyle w:val="Caption"/>
        <w:rPr>
          <w:sz w:val="24"/>
        </w:rPr>
      </w:pPr>
      <w:bookmarkStart w:id="13" w:name="_Ref465675476"/>
      <w:bookmarkStart w:id="14" w:name="_Toc465640551"/>
      <w:r>
        <w:lastRenderedPageBreak/>
        <w:t xml:space="preserve">Figure </w:t>
      </w:r>
      <w:r>
        <w:fldChar w:fldCharType="begin"/>
      </w:r>
      <w:r>
        <w:instrText xml:space="preserve"> SEQ Figure \* ARABIC </w:instrText>
      </w:r>
      <w:r>
        <w:fldChar w:fldCharType="separate"/>
      </w:r>
      <w:r>
        <w:rPr>
          <w:noProof/>
        </w:rPr>
        <w:t>3</w:t>
      </w:r>
      <w:r>
        <w:rPr>
          <w:noProof/>
        </w:rPr>
        <w:fldChar w:fldCharType="end"/>
      </w:r>
      <w:bookmarkEnd w:id="12"/>
      <w:bookmarkEnd w:id="13"/>
      <w:r>
        <w:t>. Relationship between cover crop height and cover crop dry weight biomass, as measured from Austrian winter peas, bell beans, ‘Kodiak’ mustard, and ‘Daikon’ radish grown in a high tunnel in Fayetteville, AR during the winter seasons of 2013-2014 and 2014-2015.</w:t>
      </w:r>
      <w:bookmarkEnd w:id="14"/>
    </w:p>
    <w:p w:rsidR="008E45C3" w:rsidRDefault="008E45C3" w:rsidP="008E45C3">
      <w:pPr>
        <w:rPr>
          <w:rFonts w:ascii="Times New Roman" w:hAnsi="Times New Roman"/>
        </w:rPr>
      </w:pPr>
      <w:r>
        <w:rPr>
          <w:noProof/>
        </w:rPr>
        <w:drawing>
          <wp:inline distT="0" distB="0" distL="0" distR="0" wp14:anchorId="7F304B1A" wp14:editId="7ABE0DF1">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E45C3" w:rsidRDefault="008E45C3" w:rsidP="008E45C3">
      <w:pPr>
        <w:rPr>
          <w:rFonts w:ascii="Times New Roman" w:hAnsi="Times New Roman"/>
        </w:rPr>
      </w:pPr>
      <w:r>
        <w:rPr>
          <w:rFonts w:ascii="Times New Roman" w:hAnsi="Times New Roman"/>
        </w:rPr>
        <w:br w:type="page"/>
      </w:r>
    </w:p>
    <w:p w:rsidR="008E45C3" w:rsidRDefault="008E45C3" w:rsidP="008E45C3">
      <w:pPr>
        <w:pStyle w:val="Caption"/>
        <w:keepNext/>
      </w:pPr>
      <w:bookmarkStart w:id="15" w:name="_Ref465602950"/>
      <w:bookmarkStart w:id="16" w:name="_Toc465640552"/>
      <w:r>
        <w:lastRenderedPageBreak/>
        <w:t xml:space="preserve">Figure </w:t>
      </w:r>
      <w:r>
        <w:fldChar w:fldCharType="begin"/>
      </w:r>
      <w:r>
        <w:instrText xml:space="preserve"> SEQ Figure \* ARABIC </w:instrText>
      </w:r>
      <w:r>
        <w:fldChar w:fldCharType="separate"/>
      </w:r>
      <w:r>
        <w:rPr>
          <w:noProof/>
        </w:rPr>
        <w:t>4</w:t>
      </w:r>
      <w:r>
        <w:rPr>
          <w:noProof/>
        </w:rPr>
        <w:fldChar w:fldCharType="end"/>
      </w:r>
      <w:bookmarkEnd w:id="15"/>
      <w:r>
        <w:t>. Cover crop and weedy dry biomass (g/m</w:t>
      </w:r>
      <w:r w:rsidRPr="00C97E6E">
        <w:rPr>
          <w:vertAlign w:val="superscript"/>
        </w:rPr>
        <w:t>2</w:t>
      </w:r>
      <w:r>
        <w:t>), sampled on 28 Mar. 2015, 128 days after planting in a high tunnel in Fayetteville, Ar. Mean separation was performed by LSD at P &lt; 0.05. n = 3 experimental units. Upper-case letters represent mean separation between the cover crop biomass and lower-case letters represent mean separation between the weedy biomass measurements.</w:t>
      </w:r>
      <w:bookmarkEnd w:id="16"/>
    </w:p>
    <w:p w:rsidR="008E45C3" w:rsidRDefault="008E45C3" w:rsidP="008E45C3">
      <w:pPr>
        <w:pStyle w:val="MediumGrid1-Accent21"/>
        <w:spacing w:line="480" w:lineRule="auto"/>
        <w:ind w:left="0"/>
      </w:pPr>
      <w:r w:rsidRPr="00846401">
        <w:rPr>
          <w:noProof/>
        </w:rPr>
        <w:drawing>
          <wp:inline distT="0" distB="0" distL="0" distR="0" wp14:anchorId="6829CD29" wp14:editId="26B08C6A">
            <wp:extent cx="5078095" cy="3664633"/>
            <wp:effectExtent l="0" t="0" r="8255"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E45C3" w:rsidRDefault="008E45C3" w:rsidP="008E45C3">
      <w:pPr>
        <w:rPr>
          <w:rFonts w:ascii="Times New Roman" w:hAnsi="Times New Roman"/>
          <w:sz w:val="24"/>
        </w:rPr>
      </w:pPr>
      <w:r>
        <w:br w:type="page"/>
      </w:r>
    </w:p>
    <w:p w:rsidR="008E45C3" w:rsidRDefault="008E45C3" w:rsidP="008E45C3">
      <w:pPr>
        <w:pStyle w:val="Caption"/>
        <w:keepNext/>
      </w:pPr>
      <w:bookmarkStart w:id="17" w:name="_Ref465603030"/>
      <w:bookmarkStart w:id="18" w:name="_Toc465640553"/>
      <w:r>
        <w:lastRenderedPageBreak/>
        <w:t xml:space="preserve">Figure </w:t>
      </w:r>
      <w:r>
        <w:fldChar w:fldCharType="begin"/>
      </w:r>
      <w:r>
        <w:instrText xml:space="preserve"> SEQ Figure \* ARABIC </w:instrText>
      </w:r>
      <w:r>
        <w:fldChar w:fldCharType="separate"/>
      </w:r>
      <w:r>
        <w:rPr>
          <w:noProof/>
        </w:rPr>
        <w:t>5</w:t>
      </w:r>
      <w:r>
        <w:rPr>
          <w:noProof/>
        </w:rPr>
        <w:fldChar w:fldCharType="end"/>
      </w:r>
      <w:bookmarkEnd w:id="17"/>
      <w:r>
        <w:t>. Relationship between cover crop dry weight biomass and weedy biomass, as measured from Austrian winter peas, bell beans, ‘Kodiak’ mustard, and ‘Daikon’ radish grown in a high tunnel in Fayetteville, AR during the winter seasons of 2013-2014 and 2014-2015.</w:t>
      </w:r>
      <w:bookmarkEnd w:id="18"/>
    </w:p>
    <w:p w:rsidR="008E45C3" w:rsidRDefault="008E45C3" w:rsidP="008E45C3">
      <w:pPr>
        <w:pStyle w:val="MediumGrid1-Accent21"/>
        <w:spacing w:line="480" w:lineRule="auto"/>
        <w:ind w:left="0"/>
      </w:pPr>
      <w:r>
        <w:rPr>
          <w:noProof/>
        </w:rPr>
        <w:drawing>
          <wp:inline distT="0" distB="0" distL="0" distR="0" wp14:anchorId="5E079546" wp14:editId="63F6854E">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E45C3" w:rsidRDefault="008E45C3" w:rsidP="008E45C3">
      <w:pPr>
        <w:rPr>
          <w:rFonts w:ascii="Times New Roman" w:hAnsi="Times New Roman"/>
          <w:sz w:val="24"/>
        </w:rPr>
      </w:pPr>
      <w:r>
        <w:br w:type="page"/>
      </w:r>
    </w:p>
    <w:p w:rsidR="008E45C3" w:rsidRPr="00333395" w:rsidRDefault="008E45C3" w:rsidP="008E45C3">
      <w:pPr>
        <w:pStyle w:val="Caption"/>
        <w:keepNext/>
      </w:pPr>
      <w:bookmarkStart w:id="19" w:name="_Ref465603241"/>
      <w:bookmarkStart w:id="20" w:name="_Toc465640649"/>
      <w:r>
        <w:lastRenderedPageBreak/>
        <w:t xml:space="preserve">Table </w:t>
      </w:r>
      <w:r>
        <w:fldChar w:fldCharType="begin"/>
      </w:r>
      <w:r>
        <w:instrText xml:space="preserve"> SEQ Table \* ARABIC </w:instrText>
      </w:r>
      <w:r>
        <w:fldChar w:fldCharType="separate"/>
      </w:r>
      <w:r>
        <w:rPr>
          <w:noProof/>
        </w:rPr>
        <w:t>2</w:t>
      </w:r>
      <w:r>
        <w:rPr>
          <w:noProof/>
        </w:rPr>
        <w:fldChar w:fldCharType="end"/>
      </w:r>
      <w:bookmarkEnd w:id="19"/>
      <w:r>
        <w:t>. N</w:t>
      </w:r>
      <w:r w:rsidRPr="00157D5F">
        <w:t>utrient content</w:t>
      </w:r>
      <w:r>
        <w:t xml:space="preserve"> of above-ground cover crop biomass sampled on 28 Mar. 2014 and 20 Mar. 2015, 132 and 128 days after planting, respectively, in a high tunnel in Fayetteville, Ar. F-test conducted to determine interaction effects (n=3, p &lt; 0.05).</w:t>
      </w:r>
      <w:bookmarkEnd w:id="20"/>
      <w:r>
        <w:fldChar w:fldCharType="begin"/>
      </w:r>
      <w:r>
        <w:instrText xml:space="preserve"> LINK Excel.Sheet.12 "C:\\Users\\lukef\\Documents\\Masters Thesis\\Data\\Cover Crop Data\\Cover Crop Foliar Data\\Cover Crop Foliar Data 2014-2015.xlsx" "Table for Thesis!R1C1:R20C12" \a \f 4 \h  \* MERGEFORMAT </w:instrText>
      </w:r>
      <w:r>
        <w:fldChar w:fldCharType="separate"/>
      </w:r>
    </w:p>
    <w:tbl>
      <w:tblPr>
        <w:tblW w:w="9119" w:type="dxa"/>
        <w:tblLook w:val="04A0" w:firstRow="1" w:lastRow="0" w:firstColumn="1" w:lastColumn="0" w:noHBand="0" w:noVBand="1"/>
      </w:tblPr>
      <w:tblGrid>
        <w:gridCol w:w="1435"/>
        <w:gridCol w:w="711"/>
        <w:gridCol w:w="616"/>
        <w:gridCol w:w="616"/>
        <w:gridCol w:w="764"/>
        <w:gridCol w:w="764"/>
        <w:gridCol w:w="910"/>
        <w:gridCol w:w="910"/>
        <w:gridCol w:w="616"/>
        <w:gridCol w:w="616"/>
        <w:gridCol w:w="616"/>
        <w:gridCol w:w="616"/>
      </w:tblGrid>
      <w:tr w:rsidR="008E45C3" w:rsidRPr="008B028B" w:rsidTr="007F4A48">
        <w:trPr>
          <w:trHeight w:val="290"/>
        </w:trPr>
        <w:tc>
          <w:tcPr>
            <w:tcW w:w="1435" w:type="dxa"/>
            <w:tcBorders>
              <w:top w:val="single" w:sz="4" w:space="0" w:color="auto"/>
              <w:left w:val="single" w:sz="4" w:space="0" w:color="auto"/>
              <w:bottom w:val="nil"/>
              <w:right w:val="nil"/>
            </w:tcBorders>
            <w:shd w:val="clear" w:color="auto" w:fill="auto"/>
            <w:noWrap/>
            <w:vAlign w:val="bottom"/>
            <w:hideMark/>
          </w:tcPr>
          <w:p w:rsidR="008E45C3" w:rsidRPr="00333395" w:rsidRDefault="008E45C3" w:rsidP="007F4A48">
            <w:pPr>
              <w:rPr>
                <w:rFonts w:ascii="Times New Roman" w:eastAsia="Times New Roman" w:hAnsi="Times New Roman"/>
                <w:b/>
                <w:bCs/>
                <w:color w:val="000000"/>
              </w:rPr>
            </w:pPr>
            <w:r w:rsidRPr="00333395">
              <w:rPr>
                <w:rFonts w:ascii="Times New Roman" w:eastAsia="Times New Roman" w:hAnsi="Times New Roman"/>
                <w:b/>
                <w:bCs/>
                <w:color w:val="000000"/>
              </w:rPr>
              <w:t>Treatment</w:t>
            </w:r>
          </w:p>
        </w:tc>
        <w:tc>
          <w:tcPr>
            <w:tcW w:w="3400" w:type="dxa"/>
            <w:gridSpan w:val="5"/>
            <w:tcBorders>
              <w:top w:val="single" w:sz="4" w:space="0" w:color="auto"/>
              <w:left w:val="single" w:sz="4" w:space="0" w:color="auto"/>
              <w:bottom w:val="nil"/>
              <w:right w:val="single" w:sz="4" w:space="0" w:color="000000"/>
            </w:tcBorders>
            <w:shd w:val="clear" w:color="auto" w:fill="auto"/>
            <w:noWrap/>
            <w:vAlign w:val="bottom"/>
            <w:hideMark/>
          </w:tcPr>
          <w:p w:rsidR="008E45C3" w:rsidRPr="00333395" w:rsidRDefault="008E45C3" w:rsidP="007F4A48">
            <w:pPr>
              <w:jc w:val="center"/>
              <w:rPr>
                <w:rFonts w:ascii="Times New Roman" w:eastAsia="Times New Roman" w:hAnsi="Times New Roman"/>
                <w:color w:val="000000"/>
              </w:rPr>
            </w:pPr>
            <w:r w:rsidRPr="00333395">
              <w:rPr>
                <w:rFonts w:ascii="Times New Roman" w:eastAsia="Times New Roman" w:hAnsi="Times New Roman"/>
                <w:color w:val="000000"/>
              </w:rPr>
              <w:t>%</w:t>
            </w:r>
          </w:p>
        </w:tc>
        <w:tc>
          <w:tcPr>
            <w:tcW w:w="4284" w:type="dxa"/>
            <w:gridSpan w:val="6"/>
            <w:tcBorders>
              <w:top w:val="single" w:sz="4" w:space="0" w:color="auto"/>
              <w:left w:val="nil"/>
              <w:bottom w:val="nil"/>
              <w:right w:val="single" w:sz="4" w:space="0" w:color="000000"/>
            </w:tcBorders>
            <w:shd w:val="clear" w:color="auto" w:fill="auto"/>
            <w:noWrap/>
            <w:vAlign w:val="bottom"/>
            <w:hideMark/>
          </w:tcPr>
          <w:p w:rsidR="008E45C3" w:rsidRPr="00333395" w:rsidRDefault="008E45C3" w:rsidP="007F4A48">
            <w:pPr>
              <w:jc w:val="center"/>
              <w:rPr>
                <w:rFonts w:ascii="Times New Roman" w:eastAsia="Times New Roman" w:hAnsi="Times New Roman"/>
                <w:color w:val="000000"/>
              </w:rPr>
            </w:pPr>
            <w:r w:rsidRPr="00333395">
              <w:rPr>
                <w:rFonts w:ascii="Times New Roman" w:eastAsia="Times New Roman" w:hAnsi="Times New Roman"/>
                <w:color w:val="000000"/>
              </w:rPr>
              <w:t>mg/kg</w:t>
            </w:r>
          </w:p>
        </w:tc>
      </w:tr>
      <w:tr w:rsidR="008E45C3" w:rsidRPr="008B028B" w:rsidTr="007F4A48">
        <w:trPr>
          <w:trHeight w:val="290"/>
        </w:trPr>
        <w:tc>
          <w:tcPr>
            <w:tcW w:w="1435" w:type="dxa"/>
            <w:tcBorders>
              <w:top w:val="nil"/>
              <w:left w:val="single" w:sz="4" w:space="0" w:color="auto"/>
              <w:bottom w:val="nil"/>
              <w:right w:val="nil"/>
            </w:tcBorders>
            <w:shd w:val="clear" w:color="auto" w:fill="auto"/>
            <w:noWrap/>
            <w:vAlign w:val="bottom"/>
            <w:hideMark/>
          </w:tcPr>
          <w:p w:rsidR="008E45C3" w:rsidRPr="00333395" w:rsidRDefault="008E45C3" w:rsidP="007F4A48">
            <w:pPr>
              <w:jc w:val="center"/>
              <w:rPr>
                <w:rFonts w:ascii="Times New Roman" w:eastAsia="Times New Roman" w:hAnsi="Times New Roman"/>
                <w:color w:val="3F3F3F"/>
              </w:rPr>
            </w:pPr>
            <w:r w:rsidRPr="00333395">
              <w:rPr>
                <w:rFonts w:ascii="Times New Roman" w:eastAsia="Times New Roman" w:hAnsi="Times New Roman"/>
                <w:color w:val="3F3F3F"/>
              </w:rPr>
              <w:t>Year</w:t>
            </w:r>
          </w:p>
        </w:tc>
        <w:tc>
          <w:tcPr>
            <w:tcW w:w="640" w:type="dxa"/>
            <w:tcBorders>
              <w:top w:val="nil"/>
              <w:left w:val="single" w:sz="4" w:space="0" w:color="auto"/>
              <w:bottom w:val="single" w:sz="4" w:space="0" w:color="auto"/>
              <w:right w:val="nil"/>
            </w:tcBorders>
            <w:shd w:val="clear" w:color="auto" w:fill="auto"/>
            <w:noWrap/>
            <w:vAlign w:val="bottom"/>
            <w:hideMark/>
          </w:tcPr>
          <w:p w:rsidR="008E45C3" w:rsidRPr="00333395" w:rsidRDefault="008E45C3" w:rsidP="007F4A48">
            <w:pPr>
              <w:jc w:val="center"/>
              <w:rPr>
                <w:rFonts w:ascii="Times New Roman" w:eastAsia="Times New Roman" w:hAnsi="Times New Roman"/>
                <w:b/>
                <w:bCs/>
                <w:color w:val="3F3F3F"/>
              </w:rPr>
            </w:pPr>
            <w:r w:rsidRPr="00333395">
              <w:rPr>
                <w:rFonts w:ascii="Times New Roman" w:eastAsia="Times New Roman" w:hAnsi="Times New Roman"/>
                <w:b/>
                <w:bCs/>
                <w:color w:val="3F3F3F"/>
              </w:rPr>
              <w:t>P</w:t>
            </w:r>
          </w:p>
        </w:tc>
        <w:tc>
          <w:tcPr>
            <w:tcW w:w="616" w:type="dxa"/>
            <w:tcBorders>
              <w:top w:val="nil"/>
              <w:left w:val="nil"/>
              <w:bottom w:val="single" w:sz="4" w:space="0" w:color="auto"/>
              <w:right w:val="nil"/>
            </w:tcBorders>
            <w:shd w:val="clear" w:color="auto" w:fill="auto"/>
            <w:noWrap/>
            <w:vAlign w:val="bottom"/>
            <w:hideMark/>
          </w:tcPr>
          <w:p w:rsidR="008E45C3" w:rsidRPr="00333395" w:rsidRDefault="008E45C3" w:rsidP="007F4A48">
            <w:pPr>
              <w:jc w:val="center"/>
              <w:rPr>
                <w:rFonts w:ascii="Times New Roman" w:eastAsia="Times New Roman" w:hAnsi="Times New Roman"/>
                <w:b/>
                <w:bCs/>
                <w:color w:val="3F3F3F"/>
              </w:rPr>
            </w:pPr>
            <w:r w:rsidRPr="00333395">
              <w:rPr>
                <w:rFonts w:ascii="Times New Roman" w:eastAsia="Times New Roman" w:hAnsi="Times New Roman"/>
                <w:b/>
                <w:bCs/>
                <w:color w:val="3F3F3F"/>
              </w:rPr>
              <w:t>K</w:t>
            </w:r>
          </w:p>
        </w:tc>
        <w:tc>
          <w:tcPr>
            <w:tcW w:w="616" w:type="dxa"/>
            <w:tcBorders>
              <w:top w:val="nil"/>
              <w:left w:val="nil"/>
              <w:bottom w:val="single" w:sz="4" w:space="0" w:color="auto"/>
              <w:right w:val="nil"/>
            </w:tcBorders>
            <w:shd w:val="clear" w:color="auto" w:fill="auto"/>
            <w:noWrap/>
            <w:vAlign w:val="bottom"/>
            <w:hideMark/>
          </w:tcPr>
          <w:p w:rsidR="008E45C3" w:rsidRPr="00333395" w:rsidRDefault="008E45C3" w:rsidP="007F4A48">
            <w:pPr>
              <w:jc w:val="center"/>
              <w:rPr>
                <w:rFonts w:ascii="Times New Roman" w:eastAsia="Times New Roman" w:hAnsi="Times New Roman"/>
                <w:b/>
                <w:bCs/>
                <w:color w:val="3F3F3F"/>
              </w:rPr>
            </w:pPr>
            <w:r w:rsidRPr="00333395">
              <w:rPr>
                <w:rFonts w:ascii="Times New Roman" w:eastAsia="Times New Roman" w:hAnsi="Times New Roman"/>
                <w:b/>
                <w:bCs/>
                <w:color w:val="3F3F3F"/>
              </w:rPr>
              <w:t>Ca</w:t>
            </w:r>
          </w:p>
        </w:tc>
        <w:tc>
          <w:tcPr>
            <w:tcW w:w="764" w:type="dxa"/>
            <w:tcBorders>
              <w:top w:val="nil"/>
              <w:left w:val="nil"/>
              <w:bottom w:val="single" w:sz="4" w:space="0" w:color="auto"/>
              <w:right w:val="nil"/>
            </w:tcBorders>
            <w:shd w:val="clear" w:color="auto" w:fill="auto"/>
            <w:noWrap/>
            <w:vAlign w:val="bottom"/>
            <w:hideMark/>
          </w:tcPr>
          <w:p w:rsidR="008E45C3" w:rsidRPr="00333395" w:rsidRDefault="008E45C3" w:rsidP="007F4A48">
            <w:pPr>
              <w:jc w:val="center"/>
              <w:rPr>
                <w:rFonts w:ascii="Times New Roman" w:eastAsia="Times New Roman" w:hAnsi="Times New Roman"/>
                <w:b/>
                <w:bCs/>
                <w:color w:val="3F3F3F"/>
              </w:rPr>
            </w:pPr>
            <w:r w:rsidRPr="00333395">
              <w:rPr>
                <w:rFonts w:ascii="Times New Roman" w:eastAsia="Times New Roman" w:hAnsi="Times New Roman"/>
                <w:b/>
                <w:bCs/>
                <w:color w:val="3F3F3F"/>
              </w:rPr>
              <w:t>Mg</w:t>
            </w:r>
          </w:p>
        </w:tc>
        <w:tc>
          <w:tcPr>
            <w:tcW w:w="764" w:type="dxa"/>
            <w:tcBorders>
              <w:top w:val="nil"/>
              <w:left w:val="nil"/>
              <w:bottom w:val="single" w:sz="4" w:space="0" w:color="auto"/>
              <w:right w:val="single" w:sz="4" w:space="0" w:color="auto"/>
            </w:tcBorders>
            <w:shd w:val="clear" w:color="auto" w:fill="auto"/>
            <w:noWrap/>
            <w:vAlign w:val="bottom"/>
            <w:hideMark/>
          </w:tcPr>
          <w:p w:rsidR="008E45C3" w:rsidRPr="00333395" w:rsidRDefault="008E45C3" w:rsidP="007F4A48">
            <w:pPr>
              <w:jc w:val="center"/>
              <w:rPr>
                <w:rFonts w:ascii="Times New Roman" w:eastAsia="Times New Roman" w:hAnsi="Times New Roman"/>
                <w:b/>
                <w:bCs/>
                <w:color w:val="3F3F3F"/>
              </w:rPr>
            </w:pPr>
            <w:r w:rsidRPr="00333395">
              <w:rPr>
                <w:rFonts w:ascii="Times New Roman" w:eastAsia="Times New Roman" w:hAnsi="Times New Roman"/>
                <w:b/>
                <w:bCs/>
                <w:color w:val="3F3F3F"/>
              </w:rPr>
              <w:t>S</w:t>
            </w:r>
          </w:p>
        </w:tc>
        <w:tc>
          <w:tcPr>
            <w:tcW w:w="910" w:type="dxa"/>
            <w:tcBorders>
              <w:top w:val="nil"/>
              <w:left w:val="nil"/>
              <w:bottom w:val="single" w:sz="4" w:space="0" w:color="auto"/>
              <w:right w:val="nil"/>
            </w:tcBorders>
            <w:shd w:val="clear" w:color="auto" w:fill="auto"/>
            <w:noWrap/>
            <w:vAlign w:val="bottom"/>
            <w:hideMark/>
          </w:tcPr>
          <w:p w:rsidR="008E45C3" w:rsidRPr="00333395" w:rsidRDefault="008E45C3" w:rsidP="007F4A48">
            <w:pPr>
              <w:jc w:val="center"/>
              <w:rPr>
                <w:rFonts w:ascii="Times New Roman" w:eastAsia="Times New Roman" w:hAnsi="Times New Roman"/>
                <w:b/>
                <w:bCs/>
                <w:color w:val="3F3F3F"/>
              </w:rPr>
            </w:pPr>
            <w:r w:rsidRPr="00333395">
              <w:rPr>
                <w:rFonts w:ascii="Times New Roman" w:eastAsia="Times New Roman" w:hAnsi="Times New Roman"/>
                <w:b/>
                <w:bCs/>
                <w:color w:val="3F3F3F"/>
              </w:rPr>
              <w:t>Na</w:t>
            </w:r>
          </w:p>
        </w:tc>
        <w:tc>
          <w:tcPr>
            <w:tcW w:w="910" w:type="dxa"/>
            <w:tcBorders>
              <w:top w:val="nil"/>
              <w:left w:val="nil"/>
              <w:bottom w:val="single" w:sz="4" w:space="0" w:color="auto"/>
              <w:right w:val="nil"/>
            </w:tcBorders>
            <w:shd w:val="clear" w:color="auto" w:fill="auto"/>
            <w:noWrap/>
            <w:vAlign w:val="bottom"/>
            <w:hideMark/>
          </w:tcPr>
          <w:p w:rsidR="008E45C3" w:rsidRPr="00333395" w:rsidRDefault="008E45C3" w:rsidP="007F4A48">
            <w:pPr>
              <w:jc w:val="center"/>
              <w:rPr>
                <w:rFonts w:ascii="Times New Roman" w:eastAsia="Times New Roman" w:hAnsi="Times New Roman"/>
                <w:b/>
                <w:bCs/>
                <w:color w:val="3F3F3F"/>
              </w:rPr>
            </w:pPr>
            <w:r w:rsidRPr="00333395">
              <w:rPr>
                <w:rFonts w:ascii="Times New Roman" w:eastAsia="Times New Roman" w:hAnsi="Times New Roman"/>
                <w:b/>
                <w:bCs/>
                <w:color w:val="3F3F3F"/>
              </w:rPr>
              <w:t>Fe</w:t>
            </w:r>
          </w:p>
        </w:tc>
        <w:tc>
          <w:tcPr>
            <w:tcW w:w="616" w:type="dxa"/>
            <w:tcBorders>
              <w:top w:val="nil"/>
              <w:left w:val="nil"/>
              <w:bottom w:val="single" w:sz="4" w:space="0" w:color="auto"/>
              <w:right w:val="nil"/>
            </w:tcBorders>
            <w:shd w:val="clear" w:color="auto" w:fill="auto"/>
            <w:noWrap/>
            <w:vAlign w:val="bottom"/>
            <w:hideMark/>
          </w:tcPr>
          <w:p w:rsidR="008E45C3" w:rsidRPr="00333395" w:rsidRDefault="008E45C3" w:rsidP="007F4A48">
            <w:pPr>
              <w:jc w:val="center"/>
              <w:rPr>
                <w:rFonts w:ascii="Times New Roman" w:eastAsia="Times New Roman" w:hAnsi="Times New Roman"/>
                <w:b/>
                <w:bCs/>
                <w:color w:val="3F3F3F"/>
              </w:rPr>
            </w:pPr>
            <w:r w:rsidRPr="00333395">
              <w:rPr>
                <w:rFonts w:ascii="Times New Roman" w:eastAsia="Times New Roman" w:hAnsi="Times New Roman"/>
                <w:b/>
                <w:bCs/>
                <w:color w:val="3F3F3F"/>
              </w:rPr>
              <w:t>Mn</w:t>
            </w:r>
          </w:p>
        </w:tc>
        <w:tc>
          <w:tcPr>
            <w:tcW w:w="616" w:type="dxa"/>
            <w:tcBorders>
              <w:top w:val="nil"/>
              <w:left w:val="nil"/>
              <w:bottom w:val="single" w:sz="4" w:space="0" w:color="auto"/>
              <w:right w:val="nil"/>
            </w:tcBorders>
            <w:shd w:val="clear" w:color="auto" w:fill="auto"/>
            <w:noWrap/>
            <w:vAlign w:val="bottom"/>
            <w:hideMark/>
          </w:tcPr>
          <w:p w:rsidR="008E45C3" w:rsidRPr="00333395" w:rsidRDefault="008E45C3" w:rsidP="007F4A48">
            <w:pPr>
              <w:jc w:val="center"/>
              <w:rPr>
                <w:rFonts w:ascii="Times New Roman" w:eastAsia="Times New Roman" w:hAnsi="Times New Roman"/>
                <w:b/>
                <w:bCs/>
                <w:color w:val="3F3F3F"/>
              </w:rPr>
            </w:pPr>
            <w:r w:rsidRPr="00333395">
              <w:rPr>
                <w:rFonts w:ascii="Times New Roman" w:eastAsia="Times New Roman" w:hAnsi="Times New Roman"/>
                <w:b/>
                <w:bCs/>
                <w:color w:val="3F3F3F"/>
              </w:rPr>
              <w:t>Zn</w:t>
            </w:r>
          </w:p>
        </w:tc>
        <w:tc>
          <w:tcPr>
            <w:tcW w:w="616" w:type="dxa"/>
            <w:tcBorders>
              <w:top w:val="nil"/>
              <w:left w:val="nil"/>
              <w:bottom w:val="single" w:sz="4" w:space="0" w:color="auto"/>
              <w:right w:val="nil"/>
            </w:tcBorders>
            <w:shd w:val="clear" w:color="auto" w:fill="auto"/>
            <w:noWrap/>
            <w:vAlign w:val="bottom"/>
            <w:hideMark/>
          </w:tcPr>
          <w:p w:rsidR="008E45C3" w:rsidRPr="00333395" w:rsidRDefault="008E45C3" w:rsidP="007F4A48">
            <w:pPr>
              <w:jc w:val="center"/>
              <w:rPr>
                <w:rFonts w:ascii="Times New Roman" w:eastAsia="Times New Roman" w:hAnsi="Times New Roman"/>
                <w:b/>
                <w:bCs/>
                <w:color w:val="3F3F3F"/>
              </w:rPr>
            </w:pPr>
            <w:r w:rsidRPr="00333395">
              <w:rPr>
                <w:rFonts w:ascii="Times New Roman" w:eastAsia="Times New Roman" w:hAnsi="Times New Roman"/>
                <w:b/>
                <w:bCs/>
                <w:color w:val="3F3F3F"/>
              </w:rPr>
              <w:t>Cu</w:t>
            </w:r>
          </w:p>
        </w:tc>
        <w:tc>
          <w:tcPr>
            <w:tcW w:w="616" w:type="dxa"/>
            <w:tcBorders>
              <w:top w:val="nil"/>
              <w:left w:val="nil"/>
              <w:bottom w:val="single" w:sz="4" w:space="0" w:color="auto"/>
              <w:right w:val="single" w:sz="4" w:space="0" w:color="auto"/>
            </w:tcBorders>
            <w:shd w:val="clear" w:color="auto" w:fill="auto"/>
            <w:noWrap/>
            <w:vAlign w:val="bottom"/>
            <w:hideMark/>
          </w:tcPr>
          <w:p w:rsidR="008E45C3" w:rsidRPr="00333395" w:rsidRDefault="008E45C3" w:rsidP="007F4A48">
            <w:pPr>
              <w:jc w:val="center"/>
              <w:rPr>
                <w:rFonts w:ascii="Times New Roman" w:eastAsia="Times New Roman" w:hAnsi="Times New Roman"/>
                <w:b/>
                <w:bCs/>
                <w:color w:val="3F3F3F"/>
              </w:rPr>
            </w:pPr>
            <w:r w:rsidRPr="00333395">
              <w:rPr>
                <w:rFonts w:ascii="Times New Roman" w:eastAsia="Times New Roman" w:hAnsi="Times New Roman"/>
                <w:b/>
                <w:bCs/>
                <w:color w:val="3F3F3F"/>
              </w:rPr>
              <w:t>B</w:t>
            </w:r>
          </w:p>
        </w:tc>
      </w:tr>
      <w:tr w:rsidR="008E45C3" w:rsidRPr="008B028B" w:rsidTr="007F4A48">
        <w:trPr>
          <w:trHeight w:val="290"/>
        </w:trPr>
        <w:tc>
          <w:tcPr>
            <w:tcW w:w="1435" w:type="dxa"/>
            <w:tcBorders>
              <w:top w:val="single" w:sz="4" w:space="0" w:color="auto"/>
              <w:left w:val="single" w:sz="4" w:space="0" w:color="auto"/>
              <w:bottom w:val="single" w:sz="4" w:space="0" w:color="auto"/>
              <w:right w:val="nil"/>
            </w:tcBorders>
            <w:shd w:val="clear" w:color="000000" w:fill="F2F2F2"/>
            <w:noWrap/>
            <w:vAlign w:val="bottom"/>
            <w:hideMark/>
          </w:tcPr>
          <w:p w:rsidR="008E45C3" w:rsidRPr="00333395" w:rsidRDefault="008E45C3" w:rsidP="007F4A48">
            <w:pPr>
              <w:rPr>
                <w:rFonts w:ascii="Times New Roman" w:eastAsia="Times New Roman" w:hAnsi="Times New Roman"/>
                <w:b/>
                <w:bCs/>
                <w:color w:val="3F3F3F"/>
              </w:rPr>
            </w:pPr>
            <w:r w:rsidRPr="00333395">
              <w:rPr>
                <w:rFonts w:ascii="Times New Roman" w:eastAsia="Times New Roman" w:hAnsi="Times New Roman"/>
                <w:b/>
                <w:bCs/>
                <w:color w:val="3F3F3F"/>
              </w:rPr>
              <w:t>Control</w:t>
            </w:r>
          </w:p>
        </w:tc>
        <w:tc>
          <w:tcPr>
            <w:tcW w:w="640" w:type="dxa"/>
            <w:tcBorders>
              <w:top w:val="nil"/>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0.415</w:t>
            </w:r>
          </w:p>
        </w:tc>
        <w:tc>
          <w:tcPr>
            <w:tcW w:w="616" w:type="dxa"/>
            <w:tcBorders>
              <w:top w:val="nil"/>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3.07</w:t>
            </w:r>
          </w:p>
        </w:tc>
        <w:tc>
          <w:tcPr>
            <w:tcW w:w="616" w:type="dxa"/>
            <w:tcBorders>
              <w:top w:val="nil"/>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1.21</w:t>
            </w:r>
          </w:p>
        </w:tc>
        <w:tc>
          <w:tcPr>
            <w:tcW w:w="764" w:type="dxa"/>
            <w:tcBorders>
              <w:top w:val="nil"/>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0.164</w:t>
            </w:r>
          </w:p>
        </w:tc>
        <w:tc>
          <w:tcPr>
            <w:tcW w:w="764" w:type="dxa"/>
            <w:tcBorders>
              <w:top w:val="nil"/>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0.349</w:t>
            </w:r>
          </w:p>
        </w:tc>
        <w:tc>
          <w:tcPr>
            <w:tcW w:w="910" w:type="dxa"/>
            <w:tcBorders>
              <w:top w:val="nil"/>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214.1</w:t>
            </w:r>
          </w:p>
        </w:tc>
        <w:tc>
          <w:tcPr>
            <w:tcW w:w="910" w:type="dxa"/>
            <w:tcBorders>
              <w:top w:val="nil"/>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1311.0</w:t>
            </w:r>
          </w:p>
        </w:tc>
        <w:tc>
          <w:tcPr>
            <w:tcW w:w="616" w:type="dxa"/>
            <w:tcBorders>
              <w:top w:val="nil"/>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54.5</w:t>
            </w:r>
          </w:p>
        </w:tc>
        <w:tc>
          <w:tcPr>
            <w:tcW w:w="616" w:type="dxa"/>
            <w:tcBorders>
              <w:top w:val="nil"/>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33.1</w:t>
            </w:r>
          </w:p>
        </w:tc>
        <w:tc>
          <w:tcPr>
            <w:tcW w:w="616" w:type="dxa"/>
            <w:tcBorders>
              <w:top w:val="nil"/>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27.6</w:t>
            </w:r>
          </w:p>
        </w:tc>
        <w:tc>
          <w:tcPr>
            <w:tcW w:w="616" w:type="dxa"/>
            <w:tcBorders>
              <w:top w:val="nil"/>
              <w:left w:val="nil"/>
              <w:bottom w:val="single" w:sz="4" w:space="0" w:color="auto"/>
              <w:right w:val="single" w:sz="4" w:space="0" w:color="auto"/>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18.9</w:t>
            </w:r>
          </w:p>
        </w:tc>
      </w:tr>
      <w:tr w:rsidR="008E45C3" w:rsidRPr="008B028B" w:rsidTr="007F4A48">
        <w:trPr>
          <w:trHeight w:val="290"/>
        </w:trPr>
        <w:tc>
          <w:tcPr>
            <w:tcW w:w="1435" w:type="dxa"/>
            <w:tcBorders>
              <w:top w:val="nil"/>
              <w:left w:val="single" w:sz="4" w:space="0" w:color="auto"/>
              <w:bottom w:val="nil"/>
              <w:right w:val="nil"/>
            </w:tcBorders>
            <w:shd w:val="clear" w:color="auto" w:fill="auto"/>
            <w:noWrap/>
            <w:vAlign w:val="bottom"/>
            <w:hideMark/>
          </w:tcPr>
          <w:p w:rsidR="008E45C3" w:rsidRPr="00333395" w:rsidRDefault="008E45C3" w:rsidP="007F4A48">
            <w:pPr>
              <w:jc w:val="center"/>
              <w:rPr>
                <w:rFonts w:ascii="Times New Roman" w:eastAsia="Times New Roman" w:hAnsi="Times New Roman"/>
                <w:color w:val="000000"/>
              </w:rPr>
            </w:pPr>
            <w:r w:rsidRPr="00333395">
              <w:rPr>
                <w:rFonts w:ascii="Times New Roman" w:eastAsia="Times New Roman" w:hAnsi="Times New Roman"/>
                <w:color w:val="000000"/>
              </w:rPr>
              <w:t>2014</w:t>
            </w:r>
          </w:p>
        </w:tc>
        <w:tc>
          <w:tcPr>
            <w:tcW w:w="64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0.449</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3.19</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1.15</w:t>
            </w:r>
          </w:p>
        </w:tc>
        <w:tc>
          <w:tcPr>
            <w:tcW w:w="764"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0.169</w:t>
            </w:r>
          </w:p>
        </w:tc>
        <w:tc>
          <w:tcPr>
            <w:tcW w:w="764"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0.372</w:t>
            </w:r>
          </w:p>
        </w:tc>
        <w:tc>
          <w:tcPr>
            <w:tcW w:w="91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173.7</w:t>
            </w:r>
          </w:p>
        </w:tc>
        <w:tc>
          <w:tcPr>
            <w:tcW w:w="91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991.0</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39.8</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35.9</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36.2</w:t>
            </w:r>
          </w:p>
        </w:tc>
        <w:tc>
          <w:tcPr>
            <w:tcW w:w="616" w:type="dxa"/>
            <w:tcBorders>
              <w:top w:val="nil"/>
              <w:left w:val="nil"/>
              <w:bottom w:val="nil"/>
              <w:right w:val="single" w:sz="4" w:space="0" w:color="auto"/>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19.4</w:t>
            </w:r>
          </w:p>
        </w:tc>
      </w:tr>
      <w:tr w:rsidR="008E45C3" w:rsidRPr="008B028B" w:rsidTr="007F4A48">
        <w:trPr>
          <w:trHeight w:val="290"/>
        </w:trPr>
        <w:tc>
          <w:tcPr>
            <w:tcW w:w="1435" w:type="dxa"/>
            <w:tcBorders>
              <w:top w:val="nil"/>
              <w:left w:val="single" w:sz="4" w:space="0" w:color="auto"/>
              <w:bottom w:val="nil"/>
              <w:right w:val="nil"/>
            </w:tcBorders>
            <w:shd w:val="clear" w:color="auto" w:fill="auto"/>
            <w:noWrap/>
            <w:vAlign w:val="bottom"/>
            <w:hideMark/>
          </w:tcPr>
          <w:p w:rsidR="008E45C3" w:rsidRPr="00333395" w:rsidRDefault="008E45C3" w:rsidP="007F4A48">
            <w:pPr>
              <w:jc w:val="center"/>
              <w:rPr>
                <w:rFonts w:ascii="Times New Roman" w:eastAsia="Times New Roman" w:hAnsi="Times New Roman"/>
                <w:color w:val="000000"/>
              </w:rPr>
            </w:pPr>
            <w:r w:rsidRPr="00333395">
              <w:rPr>
                <w:rFonts w:ascii="Times New Roman" w:eastAsia="Times New Roman" w:hAnsi="Times New Roman"/>
                <w:color w:val="000000"/>
              </w:rPr>
              <w:t>2015</w:t>
            </w:r>
          </w:p>
        </w:tc>
        <w:tc>
          <w:tcPr>
            <w:tcW w:w="64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0.380</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2.94</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1.27</w:t>
            </w:r>
          </w:p>
        </w:tc>
        <w:tc>
          <w:tcPr>
            <w:tcW w:w="764"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0.160</w:t>
            </w:r>
          </w:p>
        </w:tc>
        <w:tc>
          <w:tcPr>
            <w:tcW w:w="764"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0.327</w:t>
            </w:r>
          </w:p>
        </w:tc>
        <w:tc>
          <w:tcPr>
            <w:tcW w:w="91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254.5</w:t>
            </w:r>
          </w:p>
        </w:tc>
        <w:tc>
          <w:tcPr>
            <w:tcW w:w="91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1631.0</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69.2</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30.3</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19.1</w:t>
            </w:r>
          </w:p>
        </w:tc>
        <w:tc>
          <w:tcPr>
            <w:tcW w:w="616" w:type="dxa"/>
            <w:tcBorders>
              <w:top w:val="nil"/>
              <w:left w:val="nil"/>
              <w:bottom w:val="nil"/>
              <w:right w:val="single" w:sz="4" w:space="0" w:color="auto"/>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18.4</w:t>
            </w:r>
          </w:p>
        </w:tc>
      </w:tr>
      <w:tr w:rsidR="008E45C3" w:rsidRPr="008B028B" w:rsidTr="007F4A48">
        <w:trPr>
          <w:trHeight w:val="290"/>
        </w:trPr>
        <w:tc>
          <w:tcPr>
            <w:tcW w:w="1435" w:type="dxa"/>
            <w:tcBorders>
              <w:top w:val="single" w:sz="4" w:space="0" w:color="auto"/>
              <w:left w:val="single" w:sz="4" w:space="0" w:color="auto"/>
              <w:bottom w:val="single" w:sz="4" w:space="0" w:color="auto"/>
              <w:right w:val="nil"/>
            </w:tcBorders>
            <w:shd w:val="clear" w:color="000000" w:fill="F2F2F2"/>
            <w:noWrap/>
            <w:vAlign w:val="bottom"/>
            <w:hideMark/>
          </w:tcPr>
          <w:p w:rsidR="008E45C3" w:rsidRPr="00333395" w:rsidRDefault="008E45C3" w:rsidP="007F4A48">
            <w:pPr>
              <w:rPr>
                <w:rFonts w:ascii="Times New Roman" w:eastAsia="Times New Roman" w:hAnsi="Times New Roman"/>
                <w:b/>
                <w:bCs/>
                <w:color w:val="3F3F3F"/>
              </w:rPr>
            </w:pPr>
            <w:r w:rsidRPr="00333395">
              <w:rPr>
                <w:rFonts w:ascii="Times New Roman" w:eastAsia="Times New Roman" w:hAnsi="Times New Roman"/>
                <w:b/>
                <w:bCs/>
                <w:color w:val="3F3F3F"/>
              </w:rPr>
              <w:t>Winter Peas</w:t>
            </w:r>
          </w:p>
        </w:tc>
        <w:tc>
          <w:tcPr>
            <w:tcW w:w="640"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0.364</w:t>
            </w:r>
          </w:p>
        </w:tc>
        <w:tc>
          <w:tcPr>
            <w:tcW w:w="616"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3.68</w:t>
            </w:r>
          </w:p>
        </w:tc>
        <w:tc>
          <w:tcPr>
            <w:tcW w:w="616"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1.35</w:t>
            </w:r>
          </w:p>
        </w:tc>
        <w:tc>
          <w:tcPr>
            <w:tcW w:w="764"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0.280</w:t>
            </w:r>
          </w:p>
        </w:tc>
        <w:tc>
          <w:tcPr>
            <w:tcW w:w="764"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0.253</w:t>
            </w:r>
          </w:p>
        </w:tc>
        <w:tc>
          <w:tcPr>
            <w:tcW w:w="910"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587.5</w:t>
            </w:r>
          </w:p>
        </w:tc>
        <w:tc>
          <w:tcPr>
            <w:tcW w:w="910"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352.2</w:t>
            </w:r>
          </w:p>
        </w:tc>
        <w:tc>
          <w:tcPr>
            <w:tcW w:w="616"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53.8</w:t>
            </w:r>
          </w:p>
        </w:tc>
        <w:tc>
          <w:tcPr>
            <w:tcW w:w="616"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78.6</w:t>
            </w:r>
          </w:p>
        </w:tc>
        <w:tc>
          <w:tcPr>
            <w:tcW w:w="616"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17.9</w:t>
            </w:r>
          </w:p>
        </w:tc>
        <w:tc>
          <w:tcPr>
            <w:tcW w:w="616" w:type="dxa"/>
            <w:tcBorders>
              <w:top w:val="single" w:sz="4" w:space="0" w:color="auto"/>
              <w:left w:val="nil"/>
              <w:bottom w:val="single" w:sz="4" w:space="0" w:color="auto"/>
              <w:right w:val="single" w:sz="4" w:space="0" w:color="auto"/>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20.5</w:t>
            </w:r>
          </w:p>
        </w:tc>
      </w:tr>
      <w:tr w:rsidR="008E45C3" w:rsidRPr="008B028B" w:rsidTr="007F4A48">
        <w:trPr>
          <w:trHeight w:val="290"/>
        </w:trPr>
        <w:tc>
          <w:tcPr>
            <w:tcW w:w="1435" w:type="dxa"/>
            <w:tcBorders>
              <w:top w:val="nil"/>
              <w:left w:val="single" w:sz="4" w:space="0" w:color="auto"/>
              <w:bottom w:val="nil"/>
              <w:right w:val="nil"/>
            </w:tcBorders>
            <w:shd w:val="clear" w:color="auto" w:fill="auto"/>
            <w:noWrap/>
            <w:vAlign w:val="bottom"/>
            <w:hideMark/>
          </w:tcPr>
          <w:p w:rsidR="008E45C3" w:rsidRPr="00333395" w:rsidRDefault="008E45C3" w:rsidP="007F4A48">
            <w:pPr>
              <w:jc w:val="center"/>
              <w:rPr>
                <w:rFonts w:ascii="Times New Roman" w:eastAsia="Times New Roman" w:hAnsi="Times New Roman"/>
                <w:color w:val="000000"/>
              </w:rPr>
            </w:pPr>
            <w:r w:rsidRPr="00333395">
              <w:rPr>
                <w:rFonts w:ascii="Times New Roman" w:eastAsia="Times New Roman" w:hAnsi="Times New Roman"/>
                <w:color w:val="000000"/>
              </w:rPr>
              <w:t>2014</w:t>
            </w:r>
          </w:p>
        </w:tc>
        <w:tc>
          <w:tcPr>
            <w:tcW w:w="64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0.366</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4.17</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1.30</w:t>
            </w:r>
          </w:p>
        </w:tc>
        <w:tc>
          <w:tcPr>
            <w:tcW w:w="764"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0.277</w:t>
            </w:r>
          </w:p>
        </w:tc>
        <w:tc>
          <w:tcPr>
            <w:tcW w:w="764"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0.250</w:t>
            </w:r>
          </w:p>
        </w:tc>
        <w:tc>
          <w:tcPr>
            <w:tcW w:w="91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415.1</w:t>
            </w:r>
          </w:p>
        </w:tc>
        <w:tc>
          <w:tcPr>
            <w:tcW w:w="91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623.9</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58.2</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75.4</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25.2</w:t>
            </w:r>
          </w:p>
        </w:tc>
        <w:tc>
          <w:tcPr>
            <w:tcW w:w="616" w:type="dxa"/>
            <w:tcBorders>
              <w:top w:val="nil"/>
              <w:left w:val="nil"/>
              <w:bottom w:val="nil"/>
              <w:right w:val="single" w:sz="4" w:space="0" w:color="auto"/>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19.8</w:t>
            </w:r>
          </w:p>
        </w:tc>
      </w:tr>
      <w:tr w:rsidR="008E45C3" w:rsidRPr="008B028B" w:rsidTr="007F4A48">
        <w:trPr>
          <w:trHeight w:val="290"/>
        </w:trPr>
        <w:tc>
          <w:tcPr>
            <w:tcW w:w="1435" w:type="dxa"/>
            <w:tcBorders>
              <w:top w:val="nil"/>
              <w:left w:val="single" w:sz="4" w:space="0" w:color="auto"/>
              <w:bottom w:val="nil"/>
              <w:right w:val="nil"/>
            </w:tcBorders>
            <w:shd w:val="clear" w:color="auto" w:fill="auto"/>
            <w:noWrap/>
            <w:vAlign w:val="bottom"/>
            <w:hideMark/>
          </w:tcPr>
          <w:p w:rsidR="008E45C3" w:rsidRPr="00333395" w:rsidRDefault="008E45C3" w:rsidP="007F4A48">
            <w:pPr>
              <w:jc w:val="center"/>
              <w:rPr>
                <w:rFonts w:ascii="Times New Roman" w:eastAsia="Times New Roman" w:hAnsi="Times New Roman"/>
                <w:color w:val="000000"/>
              </w:rPr>
            </w:pPr>
            <w:r w:rsidRPr="00333395">
              <w:rPr>
                <w:rFonts w:ascii="Times New Roman" w:eastAsia="Times New Roman" w:hAnsi="Times New Roman"/>
                <w:color w:val="000000"/>
              </w:rPr>
              <w:t>2015</w:t>
            </w:r>
          </w:p>
        </w:tc>
        <w:tc>
          <w:tcPr>
            <w:tcW w:w="64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0.361</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3.20</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1.39</w:t>
            </w:r>
          </w:p>
        </w:tc>
        <w:tc>
          <w:tcPr>
            <w:tcW w:w="764"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0.283</w:t>
            </w:r>
          </w:p>
        </w:tc>
        <w:tc>
          <w:tcPr>
            <w:tcW w:w="764"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0.255</w:t>
            </w:r>
          </w:p>
        </w:tc>
        <w:tc>
          <w:tcPr>
            <w:tcW w:w="91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759.9</w:t>
            </w:r>
          </w:p>
        </w:tc>
        <w:tc>
          <w:tcPr>
            <w:tcW w:w="91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80.6</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49.4</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81.8</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10.6</w:t>
            </w:r>
          </w:p>
        </w:tc>
        <w:tc>
          <w:tcPr>
            <w:tcW w:w="616" w:type="dxa"/>
            <w:tcBorders>
              <w:top w:val="nil"/>
              <w:left w:val="nil"/>
              <w:bottom w:val="nil"/>
              <w:right w:val="single" w:sz="4" w:space="0" w:color="auto"/>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21.3</w:t>
            </w:r>
          </w:p>
        </w:tc>
      </w:tr>
      <w:tr w:rsidR="008E45C3" w:rsidRPr="008B028B" w:rsidTr="007F4A48">
        <w:trPr>
          <w:trHeight w:val="290"/>
        </w:trPr>
        <w:tc>
          <w:tcPr>
            <w:tcW w:w="1435" w:type="dxa"/>
            <w:tcBorders>
              <w:top w:val="single" w:sz="4" w:space="0" w:color="auto"/>
              <w:left w:val="single" w:sz="4" w:space="0" w:color="auto"/>
              <w:bottom w:val="single" w:sz="4" w:space="0" w:color="auto"/>
              <w:right w:val="nil"/>
            </w:tcBorders>
            <w:shd w:val="clear" w:color="000000" w:fill="F2F2F2"/>
            <w:noWrap/>
            <w:vAlign w:val="bottom"/>
            <w:hideMark/>
          </w:tcPr>
          <w:p w:rsidR="008E45C3" w:rsidRPr="00333395" w:rsidRDefault="008E45C3" w:rsidP="007F4A48">
            <w:pPr>
              <w:rPr>
                <w:rFonts w:ascii="Times New Roman" w:eastAsia="Times New Roman" w:hAnsi="Times New Roman"/>
                <w:b/>
                <w:bCs/>
                <w:color w:val="3F3F3F"/>
              </w:rPr>
            </w:pPr>
            <w:r w:rsidRPr="00333395">
              <w:rPr>
                <w:rFonts w:ascii="Times New Roman" w:eastAsia="Times New Roman" w:hAnsi="Times New Roman"/>
                <w:b/>
                <w:bCs/>
                <w:color w:val="3F3F3F"/>
              </w:rPr>
              <w:t>Bell Beans</w:t>
            </w:r>
          </w:p>
        </w:tc>
        <w:tc>
          <w:tcPr>
            <w:tcW w:w="640"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0.315</w:t>
            </w:r>
          </w:p>
        </w:tc>
        <w:tc>
          <w:tcPr>
            <w:tcW w:w="616"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3.47</w:t>
            </w:r>
          </w:p>
        </w:tc>
        <w:tc>
          <w:tcPr>
            <w:tcW w:w="616"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1.22</w:t>
            </w:r>
          </w:p>
        </w:tc>
        <w:tc>
          <w:tcPr>
            <w:tcW w:w="764"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0.216</w:t>
            </w:r>
          </w:p>
        </w:tc>
        <w:tc>
          <w:tcPr>
            <w:tcW w:w="764"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0.208</w:t>
            </w:r>
          </w:p>
        </w:tc>
        <w:tc>
          <w:tcPr>
            <w:tcW w:w="910"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1873.9</w:t>
            </w:r>
          </w:p>
        </w:tc>
        <w:tc>
          <w:tcPr>
            <w:tcW w:w="910"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198.4</w:t>
            </w:r>
          </w:p>
        </w:tc>
        <w:tc>
          <w:tcPr>
            <w:tcW w:w="616"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54.2</w:t>
            </w:r>
          </w:p>
        </w:tc>
        <w:tc>
          <w:tcPr>
            <w:tcW w:w="616"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67.8</w:t>
            </w:r>
          </w:p>
        </w:tc>
        <w:tc>
          <w:tcPr>
            <w:tcW w:w="616"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21.3</w:t>
            </w:r>
          </w:p>
        </w:tc>
        <w:tc>
          <w:tcPr>
            <w:tcW w:w="616" w:type="dxa"/>
            <w:tcBorders>
              <w:top w:val="single" w:sz="4" w:space="0" w:color="auto"/>
              <w:left w:val="nil"/>
              <w:bottom w:val="single" w:sz="4" w:space="0" w:color="auto"/>
              <w:right w:val="single" w:sz="4" w:space="0" w:color="auto"/>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22.1</w:t>
            </w:r>
          </w:p>
        </w:tc>
      </w:tr>
      <w:tr w:rsidR="008E45C3" w:rsidRPr="008B028B" w:rsidTr="007F4A48">
        <w:trPr>
          <w:trHeight w:val="290"/>
        </w:trPr>
        <w:tc>
          <w:tcPr>
            <w:tcW w:w="1435" w:type="dxa"/>
            <w:tcBorders>
              <w:top w:val="nil"/>
              <w:left w:val="single" w:sz="4" w:space="0" w:color="auto"/>
              <w:bottom w:val="nil"/>
              <w:right w:val="nil"/>
            </w:tcBorders>
            <w:shd w:val="clear" w:color="auto" w:fill="auto"/>
            <w:noWrap/>
            <w:vAlign w:val="bottom"/>
            <w:hideMark/>
          </w:tcPr>
          <w:p w:rsidR="008E45C3" w:rsidRPr="00333395" w:rsidRDefault="008E45C3" w:rsidP="007F4A48">
            <w:pPr>
              <w:jc w:val="center"/>
              <w:rPr>
                <w:rFonts w:ascii="Times New Roman" w:eastAsia="Times New Roman" w:hAnsi="Times New Roman"/>
                <w:color w:val="000000"/>
              </w:rPr>
            </w:pPr>
            <w:r w:rsidRPr="00333395">
              <w:rPr>
                <w:rFonts w:ascii="Times New Roman" w:eastAsia="Times New Roman" w:hAnsi="Times New Roman"/>
                <w:color w:val="000000"/>
              </w:rPr>
              <w:t>2014</w:t>
            </w:r>
          </w:p>
        </w:tc>
        <w:tc>
          <w:tcPr>
            <w:tcW w:w="64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0.357</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4.26</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1.14</w:t>
            </w:r>
          </w:p>
        </w:tc>
        <w:tc>
          <w:tcPr>
            <w:tcW w:w="764"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0.219</w:t>
            </w:r>
          </w:p>
        </w:tc>
        <w:tc>
          <w:tcPr>
            <w:tcW w:w="764"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0.232</w:t>
            </w:r>
          </w:p>
        </w:tc>
        <w:tc>
          <w:tcPr>
            <w:tcW w:w="91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1243.0</w:t>
            </w:r>
          </w:p>
        </w:tc>
        <w:tc>
          <w:tcPr>
            <w:tcW w:w="91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308.3</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52.0</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74.5</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29.0</w:t>
            </w:r>
          </w:p>
        </w:tc>
        <w:tc>
          <w:tcPr>
            <w:tcW w:w="616" w:type="dxa"/>
            <w:tcBorders>
              <w:top w:val="nil"/>
              <w:left w:val="nil"/>
              <w:bottom w:val="nil"/>
              <w:right w:val="single" w:sz="4" w:space="0" w:color="auto"/>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21.8</w:t>
            </w:r>
          </w:p>
        </w:tc>
      </w:tr>
      <w:tr w:rsidR="008E45C3" w:rsidRPr="008B028B" w:rsidTr="007F4A48">
        <w:trPr>
          <w:trHeight w:val="290"/>
        </w:trPr>
        <w:tc>
          <w:tcPr>
            <w:tcW w:w="1435" w:type="dxa"/>
            <w:tcBorders>
              <w:top w:val="nil"/>
              <w:left w:val="single" w:sz="4" w:space="0" w:color="auto"/>
              <w:bottom w:val="nil"/>
              <w:right w:val="nil"/>
            </w:tcBorders>
            <w:shd w:val="clear" w:color="auto" w:fill="auto"/>
            <w:noWrap/>
            <w:vAlign w:val="bottom"/>
            <w:hideMark/>
          </w:tcPr>
          <w:p w:rsidR="008E45C3" w:rsidRPr="00333395" w:rsidRDefault="008E45C3" w:rsidP="007F4A48">
            <w:pPr>
              <w:jc w:val="center"/>
              <w:rPr>
                <w:rFonts w:ascii="Times New Roman" w:eastAsia="Times New Roman" w:hAnsi="Times New Roman"/>
                <w:color w:val="000000"/>
              </w:rPr>
            </w:pPr>
            <w:r w:rsidRPr="00333395">
              <w:rPr>
                <w:rFonts w:ascii="Times New Roman" w:eastAsia="Times New Roman" w:hAnsi="Times New Roman"/>
                <w:color w:val="000000"/>
              </w:rPr>
              <w:t>2015</w:t>
            </w:r>
          </w:p>
        </w:tc>
        <w:tc>
          <w:tcPr>
            <w:tcW w:w="64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0.273</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2.67</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1.30</w:t>
            </w:r>
          </w:p>
        </w:tc>
        <w:tc>
          <w:tcPr>
            <w:tcW w:w="764"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0.214</w:t>
            </w:r>
          </w:p>
        </w:tc>
        <w:tc>
          <w:tcPr>
            <w:tcW w:w="764"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0.183</w:t>
            </w:r>
          </w:p>
        </w:tc>
        <w:tc>
          <w:tcPr>
            <w:tcW w:w="91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2504.7</w:t>
            </w:r>
          </w:p>
        </w:tc>
        <w:tc>
          <w:tcPr>
            <w:tcW w:w="91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88.6</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56.3</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61.2</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13.7</w:t>
            </w:r>
          </w:p>
        </w:tc>
        <w:tc>
          <w:tcPr>
            <w:tcW w:w="616" w:type="dxa"/>
            <w:tcBorders>
              <w:top w:val="nil"/>
              <w:left w:val="nil"/>
              <w:bottom w:val="nil"/>
              <w:right w:val="single" w:sz="4" w:space="0" w:color="auto"/>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22.3</w:t>
            </w:r>
          </w:p>
        </w:tc>
      </w:tr>
      <w:tr w:rsidR="008E45C3" w:rsidRPr="008B028B" w:rsidTr="007F4A48">
        <w:trPr>
          <w:trHeight w:val="290"/>
        </w:trPr>
        <w:tc>
          <w:tcPr>
            <w:tcW w:w="1435" w:type="dxa"/>
            <w:tcBorders>
              <w:top w:val="single" w:sz="4" w:space="0" w:color="auto"/>
              <w:left w:val="single" w:sz="4" w:space="0" w:color="auto"/>
              <w:bottom w:val="single" w:sz="4" w:space="0" w:color="auto"/>
              <w:right w:val="nil"/>
            </w:tcBorders>
            <w:shd w:val="clear" w:color="000000" w:fill="F2F2F2"/>
            <w:noWrap/>
            <w:vAlign w:val="bottom"/>
            <w:hideMark/>
          </w:tcPr>
          <w:p w:rsidR="008E45C3" w:rsidRPr="00333395" w:rsidRDefault="008E45C3" w:rsidP="007F4A48">
            <w:pPr>
              <w:rPr>
                <w:rFonts w:ascii="Times New Roman" w:eastAsia="Times New Roman" w:hAnsi="Times New Roman"/>
                <w:b/>
                <w:bCs/>
                <w:color w:val="3F3F3F"/>
              </w:rPr>
            </w:pPr>
            <w:r w:rsidRPr="00333395">
              <w:rPr>
                <w:rFonts w:ascii="Times New Roman" w:eastAsia="Times New Roman" w:hAnsi="Times New Roman"/>
                <w:b/>
                <w:bCs/>
                <w:color w:val="3F3F3F"/>
              </w:rPr>
              <w:t>Mustard</w:t>
            </w:r>
          </w:p>
        </w:tc>
        <w:tc>
          <w:tcPr>
            <w:tcW w:w="640"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0.372</w:t>
            </w:r>
          </w:p>
        </w:tc>
        <w:tc>
          <w:tcPr>
            <w:tcW w:w="616"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3.08</w:t>
            </w:r>
          </w:p>
        </w:tc>
        <w:tc>
          <w:tcPr>
            <w:tcW w:w="616"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1.49</w:t>
            </w:r>
          </w:p>
        </w:tc>
        <w:tc>
          <w:tcPr>
            <w:tcW w:w="764"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0.176</w:t>
            </w:r>
          </w:p>
        </w:tc>
        <w:tc>
          <w:tcPr>
            <w:tcW w:w="764"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0.590</w:t>
            </w:r>
          </w:p>
        </w:tc>
        <w:tc>
          <w:tcPr>
            <w:tcW w:w="910"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193.9</w:t>
            </w:r>
          </w:p>
        </w:tc>
        <w:tc>
          <w:tcPr>
            <w:tcW w:w="910"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675.5</w:t>
            </w:r>
          </w:p>
        </w:tc>
        <w:tc>
          <w:tcPr>
            <w:tcW w:w="616"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37.8</w:t>
            </w:r>
          </w:p>
        </w:tc>
        <w:tc>
          <w:tcPr>
            <w:tcW w:w="616"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32.4</w:t>
            </w:r>
          </w:p>
        </w:tc>
        <w:tc>
          <w:tcPr>
            <w:tcW w:w="616"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21.6</w:t>
            </w:r>
          </w:p>
        </w:tc>
        <w:tc>
          <w:tcPr>
            <w:tcW w:w="616" w:type="dxa"/>
            <w:tcBorders>
              <w:top w:val="single" w:sz="4" w:space="0" w:color="auto"/>
              <w:left w:val="nil"/>
              <w:bottom w:val="single" w:sz="4" w:space="0" w:color="auto"/>
              <w:right w:val="single" w:sz="4" w:space="0" w:color="auto"/>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29.4</w:t>
            </w:r>
          </w:p>
        </w:tc>
      </w:tr>
      <w:tr w:rsidR="008E45C3" w:rsidRPr="008B028B" w:rsidTr="007F4A48">
        <w:trPr>
          <w:trHeight w:val="290"/>
        </w:trPr>
        <w:tc>
          <w:tcPr>
            <w:tcW w:w="1435" w:type="dxa"/>
            <w:tcBorders>
              <w:top w:val="nil"/>
              <w:left w:val="single" w:sz="4" w:space="0" w:color="auto"/>
              <w:bottom w:val="nil"/>
              <w:right w:val="nil"/>
            </w:tcBorders>
            <w:shd w:val="clear" w:color="auto" w:fill="auto"/>
            <w:noWrap/>
            <w:vAlign w:val="bottom"/>
            <w:hideMark/>
          </w:tcPr>
          <w:p w:rsidR="008E45C3" w:rsidRPr="00333395" w:rsidRDefault="008E45C3" w:rsidP="007F4A48">
            <w:pPr>
              <w:jc w:val="center"/>
              <w:rPr>
                <w:rFonts w:ascii="Times New Roman" w:eastAsia="Times New Roman" w:hAnsi="Times New Roman"/>
                <w:color w:val="000000"/>
              </w:rPr>
            </w:pPr>
            <w:r w:rsidRPr="00333395">
              <w:rPr>
                <w:rFonts w:ascii="Times New Roman" w:eastAsia="Times New Roman" w:hAnsi="Times New Roman"/>
                <w:color w:val="000000"/>
              </w:rPr>
              <w:t>2014</w:t>
            </w:r>
          </w:p>
        </w:tc>
        <w:tc>
          <w:tcPr>
            <w:tcW w:w="64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0.396</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2.72</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1.70</w:t>
            </w:r>
          </w:p>
        </w:tc>
        <w:tc>
          <w:tcPr>
            <w:tcW w:w="764"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0.208</w:t>
            </w:r>
          </w:p>
        </w:tc>
        <w:tc>
          <w:tcPr>
            <w:tcW w:w="764"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0.583</w:t>
            </w:r>
          </w:p>
        </w:tc>
        <w:tc>
          <w:tcPr>
            <w:tcW w:w="91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176.6</w:t>
            </w:r>
          </w:p>
        </w:tc>
        <w:tc>
          <w:tcPr>
            <w:tcW w:w="91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1243.3</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55.9</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42.5</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38.0</w:t>
            </w:r>
          </w:p>
        </w:tc>
        <w:tc>
          <w:tcPr>
            <w:tcW w:w="616" w:type="dxa"/>
            <w:tcBorders>
              <w:top w:val="nil"/>
              <w:left w:val="nil"/>
              <w:bottom w:val="nil"/>
              <w:right w:val="single" w:sz="4" w:space="0" w:color="auto"/>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27.7</w:t>
            </w:r>
          </w:p>
        </w:tc>
      </w:tr>
      <w:tr w:rsidR="008E45C3" w:rsidRPr="008B028B" w:rsidTr="007F4A48">
        <w:trPr>
          <w:trHeight w:val="290"/>
        </w:trPr>
        <w:tc>
          <w:tcPr>
            <w:tcW w:w="1435" w:type="dxa"/>
            <w:tcBorders>
              <w:top w:val="nil"/>
              <w:left w:val="single" w:sz="4" w:space="0" w:color="auto"/>
              <w:bottom w:val="nil"/>
              <w:right w:val="nil"/>
            </w:tcBorders>
            <w:shd w:val="clear" w:color="auto" w:fill="auto"/>
            <w:noWrap/>
            <w:vAlign w:val="bottom"/>
            <w:hideMark/>
          </w:tcPr>
          <w:p w:rsidR="008E45C3" w:rsidRPr="00333395" w:rsidRDefault="008E45C3" w:rsidP="007F4A48">
            <w:pPr>
              <w:jc w:val="center"/>
              <w:rPr>
                <w:rFonts w:ascii="Times New Roman" w:eastAsia="Times New Roman" w:hAnsi="Times New Roman"/>
                <w:color w:val="000000"/>
              </w:rPr>
            </w:pPr>
            <w:r w:rsidRPr="00333395">
              <w:rPr>
                <w:rFonts w:ascii="Times New Roman" w:eastAsia="Times New Roman" w:hAnsi="Times New Roman"/>
                <w:color w:val="000000"/>
              </w:rPr>
              <w:t>2015</w:t>
            </w:r>
          </w:p>
        </w:tc>
        <w:tc>
          <w:tcPr>
            <w:tcW w:w="64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0.348</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3.44</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1.28</w:t>
            </w:r>
          </w:p>
        </w:tc>
        <w:tc>
          <w:tcPr>
            <w:tcW w:w="764"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0.145</w:t>
            </w:r>
          </w:p>
        </w:tc>
        <w:tc>
          <w:tcPr>
            <w:tcW w:w="764"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0.597</w:t>
            </w:r>
          </w:p>
        </w:tc>
        <w:tc>
          <w:tcPr>
            <w:tcW w:w="91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211.2</w:t>
            </w:r>
          </w:p>
        </w:tc>
        <w:tc>
          <w:tcPr>
            <w:tcW w:w="91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107.8</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19.8</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22.4</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5.3</w:t>
            </w:r>
          </w:p>
        </w:tc>
        <w:tc>
          <w:tcPr>
            <w:tcW w:w="616" w:type="dxa"/>
            <w:tcBorders>
              <w:top w:val="nil"/>
              <w:left w:val="nil"/>
              <w:bottom w:val="nil"/>
              <w:right w:val="single" w:sz="4" w:space="0" w:color="auto"/>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31.1</w:t>
            </w:r>
          </w:p>
        </w:tc>
      </w:tr>
      <w:tr w:rsidR="008E45C3" w:rsidRPr="008B028B" w:rsidTr="007F4A48">
        <w:trPr>
          <w:trHeight w:val="290"/>
        </w:trPr>
        <w:tc>
          <w:tcPr>
            <w:tcW w:w="1435" w:type="dxa"/>
            <w:tcBorders>
              <w:top w:val="single" w:sz="4" w:space="0" w:color="auto"/>
              <w:left w:val="single" w:sz="4" w:space="0" w:color="auto"/>
              <w:bottom w:val="single" w:sz="4" w:space="0" w:color="auto"/>
              <w:right w:val="nil"/>
            </w:tcBorders>
            <w:shd w:val="clear" w:color="000000" w:fill="F2F2F2"/>
            <w:noWrap/>
            <w:vAlign w:val="bottom"/>
            <w:hideMark/>
          </w:tcPr>
          <w:p w:rsidR="008E45C3" w:rsidRPr="00333395" w:rsidRDefault="008E45C3" w:rsidP="007F4A48">
            <w:pPr>
              <w:rPr>
                <w:rFonts w:ascii="Times New Roman" w:eastAsia="Times New Roman" w:hAnsi="Times New Roman"/>
                <w:b/>
                <w:bCs/>
                <w:color w:val="3F3F3F"/>
              </w:rPr>
            </w:pPr>
            <w:r w:rsidRPr="00333395">
              <w:rPr>
                <w:rFonts w:ascii="Times New Roman" w:eastAsia="Times New Roman" w:hAnsi="Times New Roman"/>
                <w:b/>
                <w:bCs/>
                <w:color w:val="3F3F3F"/>
              </w:rPr>
              <w:t>Radish</w:t>
            </w:r>
          </w:p>
        </w:tc>
        <w:tc>
          <w:tcPr>
            <w:tcW w:w="640"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0.464</w:t>
            </w:r>
          </w:p>
        </w:tc>
        <w:tc>
          <w:tcPr>
            <w:tcW w:w="616"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3.33</w:t>
            </w:r>
          </w:p>
        </w:tc>
        <w:tc>
          <w:tcPr>
            <w:tcW w:w="616"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1.90</w:t>
            </w:r>
          </w:p>
        </w:tc>
        <w:tc>
          <w:tcPr>
            <w:tcW w:w="764"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0.197</w:t>
            </w:r>
          </w:p>
        </w:tc>
        <w:tc>
          <w:tcPr>
            <w:tcW w:w="764"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0.596</w:t>
            </w:r>
          </w:p>
        </w:tc>
        <w:tc>
          <w:tcPr>
            <w:tcW w:w="910"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749.1</w:t>
            </w:r>
          </w:p>
        </w:tc>
        <w:tc>
          <w:tcPr>
            <w:tcW w:w="910"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537.6</w:t>
            </w:r>
          </w:p>
        </w:tc>
        <w:tc>
          <w:tcPr>
            <w:tcW w:w="616"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27.1</w:t>
            </w:r>
          </w:p>
        </w:tc>
        <w:tc>
          <w:tcPr>
            <w:tcW w:w="616"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28.7</w:t>
            </w:r>
          </w:p>
        </w:tc>
        <w:tc>
          <w:tcPr>
            <w:tcW w:w="616" w:type="dxa"/>
            <w:tcBorders>
              <w:top w:val="single" w:sz="4" w:space="0" w:color="auto"/>
              <w:left w:val="nil"/>
              <w:bottom w:val="single" w:sz="4" w:space="0" w:color="auto"/>
              <w:right w:val="nil"/>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17.7</w:t>
            </w:r>
          </w:p>
        </w:tc>
        <w:tc>
          <w:tcPr>
            <w:tcW w:w="616" w:type="dxa"/>
            <w:tcBorders>
              <w:top w:val="single" w:sz="4" w:space="0" w:color="auto"/>
              <w:left w:val="nil"/>
              <w:bottom w:val="single" w:sz="4" w:space="0" w:color="auto"/>
              <w:right w:val="single" w:sz="4" w:space="0" w:color="auto"/>
            </w:tcBorders>
            <w:shd w:val="clear" w:color="000000" w:fill="F2F2F2"/>
            <w:noWrap/>
            <w:vAlign w:val="bottom"/>
            <w:hideMark/>
          </w:tcPr>
          <w:p w:rsidR="008E45C3" w:rsidRPr="00333395" w:rsidRDefault="008E45C3" w:rsidP="007F4A48">
            <w:pPr>
              <w:jc w:val="right"/>
              <w:rPr>
                <w:rFonts w:ascii="Times New Roman" w:eastAsia="Times New Roman" w:hAnsi="Times New Roman"/>
                <w:b/>
                <w:bCs/>
                <w:color w:val="3F3F3F"/>
              </w:rPr>
            </w:pPr>
            <w:r w:rsidRPr="00333395">
              <w:rPr>
                <w:rFonts w:ascii="Times New Roman" w:eastAsia="Times New Roman" w:hAnsi="Times New Roman"/>
                <w:b/>
                <w:bCs/>
                <w:color w:val="3F3F3F"/>
              </w:rPr>
              <w:t>27.2</w:t>
            </w:r>
          </w:p>
        </w:tc>
      </w:tr>
      <w:tr w:rsidR="008E45C3" w:rsidRPr="008B028B" w:rsidTr="007F4A48">
        <w:trPr>
          <w:trHeight w:val="290"/>
        </w:trPr>
        <w:tc>
          <w:tcPr>
            <w:tcW w:w="1435" w:type="dxa"/>
            <w:tcBorders>
              <w:top w:val="nil"/>
              <w:left w:val="single" w:sz="4" w:space="0" w:color="auto"/>
              <w:bottom w:val="nil"/>
              <w:right w:val="nil"/>
            </w:tcBorders>
            <w:shd w:val="clear" w:color="auto" w:fill="auto"/>
            <w:noWrap/>
            <w:vAlign w:val="bottom"/>
            <w:hideMark/>
          </w:tcPr>
          <w:p w:rsidR="008E45C3" w:rsidRPr="00333395" w:rsidRDefault="008E45C3" w:rsidP="007F4A48">
            <w:pPr>
              <w:jc w:val="center"/>
              <w:rPr>
                <w:rFonts w:ascii="Times New Roman" w:eastAsia="Times New Roman" w:hAnsi="Times New Roman"/>
                <w:color w:val="000000"/>
              </w:rPr>
            </w:pPr>
            <w:r w:rsidRPr="00333395">
              <w:rPr>
                <w:rFonts w:ascii="Times New Roman" w:eastAsia="Times New Roman" w:hAnsi="Times New Roman"/>
                <w:color w:val="000000"/>
              </w:rPr>
              <w:t>2014</w:t>
            </w:r>
          </w:p>
        </w:tc>
        <w:tc>
          <w:tcPr>
            <w:tcW w:w="64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0.499</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3.33</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2.24</w:t>
            </w:r>
          </w:p>
        </w:tc>
        <w:tc>
          <w:tcPr>
            <w:tcW w:w="764"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0.227</w:t>
            </w:r>
          </w:p>
        </w:tc>
        <w:tc>
          <w:tcPr>
            <w:tcW w:w="764"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0.674</w:t>
            </w:r>
          </w:p>
        </w:tc>
        <w:tc>
          <w:tcPr>
            <w:tcW w:w="91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603.5</w:t>
            </w:r>
          </w:p>
        </w:tc>
        <w:tc>
          <w:tcPr>
            <w:tcW w:w="91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1052.2</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42.2</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35.6</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31.8</w:t>
            </w:r>
          </w:p>
        </w:tc>
        <w:tc>
          <w:tcPr>
            <w:tcW w:w="616" w:type="dxa"/>
            <w:tcBorders>
              <w:top w:val="nil"/>
              <w:left w:val="nil"/>
              <w:bottom w:val="nil"/>
              <w:right w:val="single" w:sz="4" w:space="0" w:color="auto"/>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29.0</w:t>
            </w:r>
          </w:p>
        </w:tc>
      </w:tr>
      <w:tr w:rsidR="008E45C3" w:rsidRPr="008B028B" w:rsidTr="007F4A48">
        <w:trPr>
          <w:trHeight w:val="290"/>
        </w:trPr>
        <w:tc>
          <w:tcPr>
            <w:tcW w:w="1435" w:type="dxa"/>
            <w:tcBorders>
              <w:top w:val="nil"/>
              <w:left w:val="single" w:sz="4" w:space="0" w:color="auto"/>
              <w:bottom w:val="single" w:sz="4" w:space="0" w:color="auto"/>
              <w:right w:val="nil"/>
            </w:tcBorders>
            <w:shd w:val="clear" w:color="auto" w:fill="auto"/>
            <w:noWrap/>
            <w:vAlign w:val="bottom"/>
            <w:hideMark/>
          </w:tcPr>
          <w:p w:rsidR="008E45C3" w:rsidRPr="00333395" w:rsidRDefault="008E45C3" w:rsidP="007F4A48">
            <w:pPr>
              <w:jc w:val="center"/>
              <w:rPr>
                <w:rFonts w:ascii="Times New Roman" w:eastAsia="Times New Roman" w:hAnsi="Times New Roman"/>
                <w:color w:val="000000"/>
              </w:rPr>
            </w:pPr>
            <w:r w:rsidRPr="00333395">
              <w:rPr>
                <w:rFonts w:ascii="Times New Roman" w:eastAsia="Times New Roman" w:hAnsi="Times New Roman"/>
                <w:color w:val="000000"/>
              </w:rPr>
              <w:t>2015</w:t>
            </w:r>
          </w:p>
        </w:tc>
        <w:tc>
          <w:tcPr>
            <w:tcW w:w="640" w:type="dxa"/>
            <w:tcBorders>
              <w:top w:val="nil"/>
              <w:left w:val="nil"/>
              <w:bottom w:val="single" w:sz="4" w:space="0" w:color="auto"/>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0.430</w:t>
            </w:r>
          </w:p>
        </w:tc>
        <w:tc>
          <w:tcPr>
            <w:tcW w:w="616" w:type="dxa"/>
            <w:tcBorders>
              <w:top w:val="nil"/>
              <w:left w:val="nil"/>
              <w:bottom w:val="single" w:sz="4" w:space="0" w:color="auto"/>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3.34</w:t>
            </w:r>
          </w:p>
        </w:tc>
        <w:tc>
          <w:tcPr>
            <w:tcW w:w="616" w:type="dxa"/>
            <w:tcBorders>
              <w:top w:val="nil"/>
              <w:left w:val="nil"/>
              <w:bottom w:val="single" w:sz="4" w:space="0" w:color="auto"/>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1.56</w:t>
            </w:r>
          </w:p>
        </w:tc>
        <w:tc>
          <w:tcPr>
            <w:tcW w:w="764" w:type="dxa"/>
            <w:tcBorders>
              <w:top w:val="nil"/>
              <w:left w:val="nil"/>
              <w:bottom w:val="single" w:sz="4" w:space="0" w:color="auto"/>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0.167</w:t>
            </w:r>
          </w:p>
        </w:tc>
        <w:tc>
          <w:tcPr>
            <w:tcW w:w="764" w:type="dxa"/>
            <w:tcBorders>
              <w:top w:val="nil"/>
              <w:left w:val="nil"/>
              <w:bottom w:val="single" w:sz="4" w:space="0" w:color="auto"/>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0.518</w:t>
            </w:r>
          </w:p>
        </w:tc>
        <w:tc>
          <w:tcPr>
            <w:tcW w:w="910" w:type="dxa"/>
            <w:tcBorders>
              <w:top w:val="nil"/>
              <w:left w:val="nil"/>
              <w:bottom w:val="single" w:sz="4" w:space="0" w:color="auto"/>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894.6</w:t>
            </w:r>
          </w:p>
        </w:tc>
        <w:tc>
          <w:tcPr>
            <w:tcW w:w="910" w:type="dxa"/>
            <w:tcBorders>
              <w:top w:val="nil"/>
              <w:left w:val="nil"/>
              <w:bottom w:val="single" w:sz="4" w:space="0" w:color="auto"/>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23.0</w:t>
            </w:r>
          </w:p>
        </w:tc>
        <w:tc>
          <w:tcPr>
            <w:tcW w:w="616" w:type="dxa"/>
            <w:tcBorders>
              <w:top w:val="nil"/>
              <w:left w:val="nil"/>
              <w:bottom w:val="single" w:sz="4" w:space="0" w:color="auto"/>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12.0</w:t>
            </w:r>
          </w:p>
        </w:tc>
        <w:tc>
          <w:tcPr>
            <w:tcW w:w="616" w:type="dxa"/>
            <w:tcBorders>
              <w:top w:val="nil"/>
              <w:left w:val="nil"/>
              <w:bottom w:val="single" w:sz="4" w:space="0" w:color="auto"/>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21.7</w:t>
            </w:r>
          </w:p>
        </w:tc>
        <w:tc>
          <w:tcPr>
            <w:tcW w:w="616" w:type="dxa"/>
            <w:tcBorders>
              <w:top w:val="nil"/>
              <w:left w:val="nil"/>
              <w:bottom w:val="single" w:sz="4" w:space="0" w:color="auto"/>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3.5</w:t>
            </w:r>
          </w:p>
        </w:tc>
        <w:tc>
          <w:tcPr>
            <w:tcW w:w="616" w:type="dxa"/>
            <w:tcBorders>
              <w:top w:val="nil"/>
              <w:left w:val="nil"/>
              <w:bottom w:val="single" w:sz="4" w:space="0" w:color="auto"/>
              <w:right w:val="single" w:sz="4" w:space="0" w:color="auto"/>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25.3</w:t>
            </w:r>
          </w:p>
        </w:tc>
      </w:tr>
      <w:tr w:rsidR="008E45C3" w:rsidRPr="008B028B" w:rsidTr="007F4A48">
        <w:trPr>
          <w:trHeight w:val="290"/>
        </w:trPr>
        <w:tc>
          <w:tcPr>
            <w:tcW w:w="1435" w:type="dxa"/>
            <w:tcBorders>
              <w:top w:val="nil"/>
              <w:left w:val="single" w:sz="4" w:space="0" w:color="auto"/>
              <w:bottom w:val="nil"/>
              <w:right w:val="nil"/>
            </w:tcBorders>
            <w:shd w:val="clear" w:color="auto" w:fill="auto"/>
            <w:noWrap/>
            <w:vAlign w:val="bottom"/>
            <w:hideMark/>
          </w:tcPr>
          <w:p w:rsidR="008E45C3" w:rsidRPr="00333395" w:rsidRDefault="008E45C3" w:rsidP="007F4A48">
            <w:pPr>
              <w:rPr>
                <w:rFonts w:ascii="Times New Roman" w:eastAsia="Times New Roman" w:hAnsi="Times New Roman"/>
                <w:color w:val="000000"/>
              </w:rPr>
            </w:pPr>
            <w:r w:rsidRPr="00333395">
              <w:rPr>
                <w:rFonts w:ascii="Times New Roman" w:eastAsia="Times New Roman" w:hAnsi="Times New Roman"/>
                <w:color w:val="000000"/>
              </w:rPr>
              <w:t> </w:t>
            </w:r>
          </w:p>
        </w:tc>
        <w:tc>
          <w:tcPr>
            <w:tcW w:w="64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w:t>
            </w:r>
          </w:p>
        </w:tc>
        <w:tc>
          <w:tcPr>
            <w:tcW w:w="764"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w:t>
            </w:r>
          </w:p>
        </w:tc>
        <w:tc>
          <w:tcPr>
            <w:tcW w:w="764"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w:t>
            </w:r>
          </w:p>
        </w:tc>
        <w:tc>
          <w:tcPr>
            <w:tcW w:w="91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w:t>
            </w:r>
          </w:p>
        </w:tc>
        <w:tc>
          <w:tcPr>
            <w:tcW w:w="910"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w:t>
            </w:r>
          </w:p>
        </w:tc>
        <w:tc>
          <w:tcPr>
            <w:tcW w:w="616" w:type="dxa"/>
            <w:tcBorders>
              <w:top w:val="nil"/>
              <w:left w:val="nil"/>
              <w:bottom w:val="nil"/>
              <w:right w:val="nil"/>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w:t>
            </w:r>
          </w:p>
        </w:tc>
        <w:tc>
          <w:tcPr>
            <w:tcW w:w="616" w:type="dxa"/>
            <w:tcBorders>
              <w:top w:val="nil"/>
              <w:left w:val="nil"/>
              <w:bottom w:val="nil"/>
              <w:right w:val="single" w:sz="4" w:space="0" w:color="auto"/>
            </w:tcBorders>
            <w:shd w:val="clear" w:color="auto" w:fill="auto"/>
            <w:noWrap/>
            <w:vAlign w:val="bottom"/>
            <w:hideMark/>
          </w:tcPr>
          <w:p w:rsidR="008E45C3" w:rsidRPr="00333395" w:rsidRDefault="008E45C3" w:rsidP="007F4A48">
            <w:pPr>
              <w:jc w:val="right"/>
              <w:rPr>
                <w:rFonts w:ascii="Times New Roman" w:eastAsia="Times New Roman" w:hAnsi="Times New Roman"/>
                <w:color w:val="000000"/>
              </w:rPr>
            </w:pPr>
            <w:r w:rsidRPr="00333395">
              <w:rPr>
                <w:rFonts w:ascii="Times New Roman" w:eastAsia="Times New Roman" w:hAnsi="Times New Roman"/>
                <w:color w:val="000000"/>
              </w:rPr>
              <w:t>**</w:t>
            </w:r>
          </w:p>
        </w:tc>
      </w:tr>
      <w:tr w:rsidR="008E45C3" w:rsidRPr="008B028B" w:rsidTr="007F4A48">
        <w:trPr>
          <w:trHeight w:val="290"/>
        </w:trPr>
        <w:tc>
          <w:tcPr>
            <w:tcW w:w="4071" w:type="dxa"/>
            <w:gridSpan w:val="5"/>
            <w:tcBorders>
              <w:top w:val="nil"/>
              <w:left w:val="single" w:sz="4" w:space="0" w:color="auto"/>
              <w:bottom w:val="nil"/>
              <w:right w:val="nil"/>
            </w:tcBorders>
            <w:shd w:val="clear" w:color="auto" w:fill="auto"/>
            <w:noWrap/>
            <w:vAlign w:val="bottom"/>
            <w:hideMark/>
          </w:tcPr>
          <w:p w:rsidR="008E45C3" w:rsidRPr="00333395" w:rsidRDefault="008E45C3" w:rsidP="007F4A48">
            <w:pPr>
              <w:rPr>
                <w:rFonts w:ascii="Times New Roman" w:eastAsia="Times New Roman" w:hAnsi="Times New Roman"/>
                <w:color w:val="000000"/>
              </w:rPr>
            </w:pPr>
            <w:r w:rsidRPr="00333395">
              <w:rPr>
                <w:rFonts w:ascii="Times New Roman" w:eastAsia="Times New Roman" w:hAnsi="Times New Roman"/>
                <w:color w:val="000000"/>
              </w:rPr>
              <w:t>* indicates Trt main effect at p &lt; 0.05</w:t>
            </w:r>
          </w:p>
        </w:tc>
        <w:tc>
          <w:tcPr>
            <w:tcW w:w="764" w:type="dxa"/>
            <w:tcBorders>
              <w:top w:val="nil"/>
              <w:left w:val="nil"/>
              <w:bottom w:val="nil"/>
              <w:right w:val="nil"/>
            </w:tcBorders>
            <w:shd w:val="clear" w:color="auto" w:fill="auto"/>
            <w:noWrap/>
            <w:vAlign w:val="bottom"/>
            <w:hideMark/>
          </w:tcPr>
          <w:p w:rsidR="008E45C3" w:rsidRPr="00333395" w:rsidRDefault="008E45C3" w:rsidP="007F4A48">
            <w:pPr>
              <w:rPr>
                <w:rFonts w:ascii="Times New Roman" w:eastAsia="Times New Roman" w:hAnsi="Times New Roman"/>
                <w:color w:val="000000"/>
              </w:rPr>
            </w:pPr>
          </w:p>
        </w:tc>
        <w:tc>
          <w:tcPr>
            <w:tcW w:w="910" w:type="dxa"/>
            <w:tcBorders>
              <w:top w:val="nil"/>
              <w:left w:val="nil"/>
              <w:bottom w:val="nil"/>
              <w:right w:val="nil"/>
            </w:tcBorders>
            <w:shd w:val="clear" w:color="auto" w:fill="auto"/>
            <w:noWrap/>
            <w:vAlign w:val="bottom"/>
            <w:hideMark/>
          </w:tcPr>
          <w:p w:rsidR="008E45C3" w:rsidRPr="00333395" w:rsidRDefault="008E45C3" w:rsidP="007F4A48">
            <w:pPr>
              <w:rPr>
                <w:rFonts w:ascii="Times New Roman" w:eastAsia="Times New Roman" w:hAnsi="Times New Roman"/>
                <w:sz w:val="20"/>
                <w:szCs w:val="20"/>
              </w:rPr>
            </w:pPr>
          </w:p>
        </w:tc>
        <w:tc>
          <w:tcPr>
            <w:tcW w:w="910" w:type="dxa"/>
            <w:tcBorders>
              <w:top w:val="nil"/>
              <w:left w:val="nil"/>
              <w:bottom w:val="nil"/>
              <w:right w:val="nil"/>
            </w:tcBorders>
            <w:shd w:val="clear" w:color="auto" w:fill="auto"/>
            <w:noWrap/>
            <w:vAlign w:val="bottom"/>
            <w:hideMark/>
          </w:tcPr>
          <w:p w:rsidR="008E45C3" w:rsidRPr="00333395" w:rsidRDefault="008E45C3" w:rsidP="007F4A48">
            <w:pPr>
              <w:rPr>
                <w:rFonts w:ascii="Times New Roman" w:eastAsia="Times New Roman" w:hAnsi="Times New Roman"/>
                <w:sz w:val="20"/>
                <w:szCs w:val="20"/>
              </w:rPr>
            </w:pPr>
          </w:p>
        </w:tc>
        <w:tc>
          <w:tcPr>
            <w:tcW w:w="616" w:type="dxa"/>
            <w:tcBorders>
              <w:top w:val="nil"/>
              <w:left w:val="nil"/>
              <w:bottom w:val="nil"/>
              <w:right w:val="nil"/>
            </w:tcBorders>
            <w:shd w:val="clear" w:color="auto" w:fill="auto"/>
            <w:noWrap/>
            <w:vAlign w:val="bottom"/>
            <w:hideMark/>
          </w:tcPr>
          <w:p w:rsidR="008E45C3" w:rsidRPr="00333395" w:rsidRDefault="008E45C3" w:rsidP="007F4A48">
            <w:pPr>
              <w:rPr>
                <w:rFonts w:ascii="Times New Roman" w:eastAsia="Times New Roman" w:hAnsi="Times New Roman"/>
                <w:sz w:val="20"/>
                <w:szCs w:val="20"/>
              </w:rPr>
            </w:pPr>
          </w:p>
        </w:tc>
        <w:tc>
          <w:tcPr>
            <w:tcW w:w="616" w:type="dxa"/>
            <w:tcBorders>
              <w:top w:val="nil"/>
              <w:left w:val="nil"/>
              <w:bottom w:val="nil"/>
              <w:right w:val="nil"/>
            </w:tcBorders>
            <w:shd w:val="clear" w:color="auto" w:fill="auto"/>
            <w:noWrap/>
            <w:vAlign w:val="bottom"/>
            <w:hideMark/>
          </w:tcPr>
          <w:p w:rsidR="008E45C3" w:rsidRPr="00333395" w:rsidRDefault="008E45C3" w:rsidP="007F4A48">
            <w:pPr>
              <w:rPr>
                <w:rFonts w:ascii="Times New Roman" w:eastAsia="Times New Roman" w:hAnsi="Times New Roman"/>
                <w:sz w:val="20"/>
                <w:szCs w:val="20"/>
              </w:rPr>
            </w:pPr>
          </w:p>
        </w:tc>
        <w:tc>
          <w:tcPr>
            <w:tcW w:w="616" w:type="dxa"/>
            <w:tcBorders>
              <w:top w:val="nil"/>
              <w:left w:val="nil"/>
              <w:bottom w:val="nil"/>
              <w:right w:val="nil"/>
            </w:tcBorders>
            <w:shd w:val="clear" w:color="auto" w:fill="auto"/>
            <w:noWrap/>
            <w:vAlign w:val="bottom"/>
            <w:hideMark/>
          </w:tcPr>
          <w:p w:rsidR="008E45C3" w:rsidRPr="00333395" w:rsidRDefault="008E45C3" w:rsidP="007F4A48">
            <w:pPr>
              <w:rPr>
                <w:rFonts w:ascii="Times New Roman" w:eastAsia="Times New Roman" w:hAnsi="Times New Roman"/>
                <w:sz w:val="20"/>
                <w:szCs w:val="20"/>
              </w:rPr>
            </w:pPr>
          </w:p>
        </w:tc>
        <w:tc>
          <w:tcPr>
            <w:tcW w:w="616" w:type="dxa"/>
            <w:tcBorders>
              <w:top w:val="nil"/>
              <w:left w:val="nil"/>
              <w:bottom w:val="nil"/>
              <w:right w:val="single" w:sz="4" w:space="0" w:color="auto"/>
            </w:tcBorders>
            <w:shd w:val="clear" w:color="auto" w:fill="auto"/>
            <w:noWrap/>
            <w:vAlign w:val="bottom"/>
            <w:hideMark/>
          </w:tcPr>
          <w:p w:rsidR="008E45C3" w:rsidRPr="00333395" w:rsidRDefault="008E45C3" w:rsidP="007F4A48">
            <w:pPr>
              <w:rPr>
                <w:rFonts w:ascii="Times New Roman" w:eastAsia="Times New Roman" w:hAnsi="Times New Roman"/>
                <w:color w:val="000000"/>
              </w:rPr>
            </w:pPr>
            <w:r w:rsidRPr="00333395">
              <w:rPr>
                <w:rFonts w:ascii="Times New Roman" w:eastAsia="Times New Roman" w:hAnsi="Times New Roman"/>
                <w:color w:val="000000"/>
              </w:rPr>
              <w:t> </w:t>
            </w:r>
          </w:p>
        </w:tc>
      </w:tr>
      <w:tr w:rsidR="008E45C3" w:rsidRPr="008B028B" w:rsidTr="007F4A48">
        <w:trPr>
          <w:trHeight w:val="290"/>
        </w:trPr>
        <w:tc>
          <w:tcPr>
            <w:tcW w:w="5745" w:type="dxa"/>
            <w:gridSpan w:val="7"/>
            <w:tcBorders>
              <w:top w:val="nil"/>
              <w:left w:val="single" w:sz="4" w:space="0" w:color="auto"/>
              <w:bottom w:val="single" w:sz="4" w:space="0" w:color="auto"/>
              <w:right w:val="nil"/>
            </w:tcBorders>
            <w:shd w:val="clear" w:color="auto" w:fill="auto"/>
            <w:noWrap/>
            <w:vAlign w:val="bottom"/>
            <w:hideMark/>
          </w:tcPr>
          <w:p w:rsidR="008E45C3" w:rsidRPr="00333395" w:rsidRDefault="008E45C3" w:rsidP="007F4A48">
            <w:pPr>
              <w:rPr>
                <w:rFonts w:ascii="Times New Roman" w:eastAsia="Times New Roman" w:hAnsi="Times New Roman"/>
                <w:color w:val="000000"/>
              </w:rPr>
            </w:pPr>
            <w:r w:rsidRPr="00333395">
              <w:rPr>
                <w:rFonts w:ascii="Times New Roman" w:eastAsia="Times New Roman" w:hAnsi="Times New Roman"/>
                <w:color w:val="000000"/>
              </w:rPr>
              <w:t>** indicates Year by Trt interaction effect at p &lt; 0.05</w:t>
            </w:r>
          </w:p>
        </w:tc>
        <w:tc>
          <w:tcPr>
            <w:tcW w:w="910" w:type="dxa"/>
            <w:tcBorders>
              <w:top w:val="nil"/>
              <w:left w:val="nil"/>
              <w:bottom w:val="single" w:sz="4" w:space="0" w:color="auto"/>
              <w:right w:val="nil"/>
            </w:tcBorders>
            <w:shd w:val="clear" w:color="auto" w:fill="auto"/>
            <w:noWrap/>
            <w:vAlign w:val="bottom"/>
            <w:hideMark/>
          </w:tcPr>
          <w:p w:rsidR="008E45C3" w:rsidRPr="00333395" w:rsidRDefault="008E45C3" w:rsidP="007F4A48">
            <w:pPr>
              <w:rPr>
                <w:rFonts w:ascii="Times New Roman" w:eastAsia="Times New Roman" w:hAnsi="Times New Roman"/>
                <w:color w:val="000000"/>
              </w:rPr>
            </w:pPr>
            <w:r w:rsidRPr="00333395">
              <w:rPr>
                <w:rFonts w:ascii="Times New Roman" w:eastAsia="Times New Roman" w:hAnsi="Times New Roman"/>
                <w:color w:val="000000"/>
              </w:rPr>
              <w:t> </w:t>
            </w:r>
          </w:p>
        </w:tc>
        <w:tc>
          <w:tcPr>
            <w:tcW w:w="616" w:type="dxa"/>
            <w:tcBorders>
              <w:top w:val="nil"/>
              <w:left w:val="nil"/>
              <w:bottom w:val="single" w:sz="4" w:space="0" w:color="auto"/>
              <w:right w:val="nil"/>
            </w:tcBorders>
            <w:shd w:val="clear" w:color="auto" w:fill="auto"/>
            <w:noWrap/>
            <w:vAlign w:val="bottom"/>
            <w:hideMark/>
          </w:tcPr>
          <w:p w:rsidR="008E45C3" w:rsidRPr="00333395" w:rsidRDefault="008E45C3" w:rsidP="007F4A48">
            <w:pPr>
              <w:rPr>
                <w:rFonts w:ascii="Times New Roman" w:eastAsia="Times New Roman" w:hAnsi="Times New Roman"/>
                <w:color w:val="000000"/>
              </w:rPr>
            </w:pPr>
            <w:r w:rsidRPr="00333395">
              <w:rPr>
                <w:rFonts w:ascii="Times New Roman" w:eastAsia="Times New Roman" w:hAnsi="Times New Roman"/>
                <w:color w:val="000000"/>
              </w:rPr>
              <w:t> </w:t>
            </w:r>
          </w:p>
        </w:tc>
        <w:tc>
          <w:tcPr>
            <w:tcW w:w="616" w:type="dxa"/>
            <w:tcBorders>
              <w:top w:val="nil"/>
              <w:left w:val="nil"/>
              <w:bottom w:val="single" w:sz="4" w:space="0" w:color="auto"/>
              <w:right w:val="nil"/>
            </w:tcBorders>
            <w:shd w:val="clear" w:color="auto" w:fill="auto"/>
            <w:noWrap/>
            <w:vAlign w:val="bottom"/>
            <w:hideMark/>
          </w:tcPr>
          <w:p w:rsidR="008E45C3" w:rsidRPr="00333395" w:rsidRDefault="008E45C3" w:rsidP="007F4A48">
            <w:pPr>
              <w:rPr>
                <w:rFonts w:ascii="Times New Roman" w:eastAsia="Times New Roman" w:hAnsi="Times New Roman"/>
                <w:color w:val="000000"/>
              </w:rPr>
            </w:pPr>
            <w:r w:rsidRPr="00333395">
              <w:rPr>
                <w:rFonts w:ascii="Times New Roman" w:eastAsia="Times New Roman" w:hAnsi="Times New Roman"/>
                <w:color w:val="000000"/>
              </w:rPr>
              <w:t> </w:t>
            </w:r>
          </w:p>
        </w:tc>
        <w:tc>
          <w:tcPr>
            <w:tcW w:w="616" w:type="dxa"/>
            <w:tcBorders>
              <w:top w:val="nil"/>
              <w:left w:val="nil"/>
              <w:bottom w:val="single" w:sz="4" w:space="0" w:color="auto"/>
              <w:right w:val="nil"/>
            </w:tcBorders>
            <w:shd w:val="clear" w:color="auto" w:fill="auto"/>
            <w:noWrap/>
            <w:vAlign w:val="bottom"/>
            <w:hideMark/>
          </w:tcPr>
          <w:p w:rsidR="008E45C3" w:rsidRPr="00333395" w:rsidRDefault="008E45C3" w:rsidP="007F4A48">
            <w:pPr>
              <w:rPr>
                <w:rFonts w:ascii="Times New Roman" w:eastAsia="Times New Roman" w:hAnsi="Times New Roman"/>
                <w:color w:val="000000"/>
              </w:rPr>
            </w:pPr>
            <w:r w:rsidRPr="00333395">
              <w:rPr>
                <w:rFonts w:ascii="Times New Roman" w:eastAsia="Times New Roman" w:hAnsi="Times New Roman"/>
                <w:color w:val="000000"/>
              </w:rPr>
              <w:t> </w:t>
            </w:r>
          </w:p>
        </w:tc>
        <w:tc>
          <w:tcPr>
            <w:tcW w:w="616" w:type="dxa"/>
            <w:tcBorders>
              <w:top w:val="nil"/>
              <w:left w:val="nil"/>
              <w:bottom w:val="single" w:sz="4" w:space="0" w:color="auto"/>
              <w:right w:val="single" w:sz="4" w:space="0" w:color="auto"/>
            </w:tcBorders>
            <w:shd w:val="clear" w:color="auto" w:fill="auto"/>
            <w:noWrap/>
            <w:vAlign w:val="bottom"/>
            <w:hideMark/>
          </w:tcPr>
          <w:p w:rsidR="008E45C3" w:rsidRPr="00333395" w:rsidRDefault="008E45C3" w:rsidP="007F4A48">
            <w:pPr>
              <w:rPr>
                <w:rFonts w:ascii="Times New Roman" w:eastAsia="Times New Roman" w:hAnsi="Times New Roman"/>
                <w:color w:val="000000"/>
              </w:rPr>
            </w:pPr>
            <w:r w:rsidRPr="00333395">
              <w:rPr>
                <w:rFonts w:ascii="Times New Roman" w:eastAsia="Times New Roman" w:hAnsi="Times New Roman"/>
                <w:color w:val="000000"/>
              </w:rPr>
              <w:t> </w:t>
            </w:r>
          </w:p>
        </w:tc>
      </w:tr>
    </w:tbl>
    <w:p w:rsidR="008E45C3" w:rsidRDefault="008E45C3" w:rsidP="008E45C3">
      <w:pPr>
        <w:pStyle w:val="MediumGrid1-Accent21"/>
        <w:spacing w:line="480" w:lineRule="auto"/>
        <w:ind w:left="0"/>
      </w:pPr>
      <w:r>
        <w:fldChar w:fldCharType="end"/>
      </w:r>
    </w:p>
    <w:p w:rsidR="008E45C3" w:rsidRDefault="008E45C3" w:rsidP="008E45C3">
      <w:pPr>
        <w:rPr>
          <w:rFonts w:ascii="Times New Roman" w:hAnsi="Times New Roman"/>
        </w:rPr>
      </w:pPr>
    </w:p>
    <w:p w:rsidR="008E45C3" w:rsidRPr="00846401" w:rsidRDefault="008E45C3" w:rsidP="008E45C3">
      <w:pPr>
        <w:pStyle w:val="MediumGrid1-Accent21"/>
        <w:spacing w:line="480" w:lineRule="auto"/>
        <w:ind w:left="0"/>
      </w:pPr>
    </w:p>
    <w:p w:rsidR="008E45C3" w:rsidRDefault="008E45C3" w:rsidP="008E45C3">
      <w:pPr>
        <w:pStyle w:val="MediumGrid1-Accent21"/>
        <w:spacing w:line="480" w:lineRule="auto"/>
        <w:ind w:left="0"/>
      </w:pPr>
    </w:p>
    <w:p w:rsidR="008E45C3" w:rsidRDefault="008E45C3" w:rsidP="008E45C3">
      <w:pPr>
        <w:rPr>
          <w:rFonts w:ascii="Times New Roman" w:hAnsi="Times New Roman"/>
          <w:sz w:val="24"/>
        </w:rPr>
      </w:pPr>
      <w:r>
        <w:br w:type="page"/>
      </w:r>
    </w:p>
    <w:p w:rsidR="008E45C3" w:rsidRDefault="008E45C3" w:rsidP="008E45C3">
      <w:pPr>
        <w:pStyle w:val="Caption"/>
        <w:keepNext/>
      </w:pPr>
      <w:bookmarkStart w:id="21" w:name="_Ref465603315"/>
      <w:bookmarkStart w:id="22" w:name="_Toc465640650"/>
      <w:r>
        <w:lastRenderedPageBreak/>
        <w:t xml:space="preserve">Table </w:t>
      </w:r>
      <w:r>
        <w:fldChar w:fldCharType="begin"/>
      </w:r>
      <w:r>
        <w:instrText xml:space="preserve"> SEQ Table \* ARABIC </w:instrText>
      </w:r>
      <w:r>
        <w:fldChar w:fldCharType="separate"/>
      </w:r>
      <w:r>
        <w:rPr>
          <w:noProof/>
        </w:rPr>
        <w:t>3</w:t>
      </w:r>
      <w:r>
        <w:rPr>
          <w:noProof/>
        </w:rPr>
        <w:fldChar w:fldCharType="end"/>
      </w:r>
      <w:bookmarkEnd w:id="21"/>
      <w:r>
        <w:t>. Cover crop aerial tissue C and N content from samples collected from above-ground cover crop biomass on 28 Mar. 2014 and 20 Mar. 2015, 132 and 128 days after planting, respectively, in a high tunnel in Fayetteville, AR.</w:t>
      </w:r>
      <w:bookmarkEnd w:id="22"/>
      <w:r>
        <w:t xml:space="preserve"> </w:t>
      </w:r>
    </w:p>
    <w:tbl>
      <w:tblPr>
        <w:tblW w:w="4680" w:type="dxa"/>
        <w:tblInd w:w="-3" w:type="dxa"/>
        <w:tblLook w:val="04A0" w:firstRow="1" w:lastRow="0" w:firstColumn="1" w:lastColumn="0" w:noHBand="0" w:noVBand="1"/>
      </w:tblPr>
      <w:tblGrid>
        <w:gridCol w:w="1540"/>
        <w:gridCol w:w="601"/>
        <w:gridCol w:w="534"/>
        <w:gridCol w:w="711"/>
        <w:gridCol w:w="426"/>
        <w:gridCol w:w="711"/>
        <w:gridCol w:w="522"/>
      </w:tblGrid>
      <w:tr w:rsidR="008E45C3" w:rsidRPr="00640358" w:rsidTr="007F4A48">
        <w:trPr>
          <w:trHeight w:val="20"/>
        </w:trPr>
        <w:tc>
          <w:tcPr>
            <w:tcW w:w="1540" w:type="dxa"/>
            <w:tcBorders>
              <w:top w:val="single" w:sz="4" w:space="0" w:color="auto"/>
              <w:left w:val="single" w:sz="4" w:space="0" w:color="auto"/>
              <w:bottom w:val="nil"/>
              <w:right w:val="single" w:sz="4" w:space="0" w:color="auto"/>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Treatment</w:t>
            </w:r>
          </w:p>
        </w:tc>
        <w:tc>
          <w:tcPr>
            <w:tcW w:w="2060" w:type="dxa"/>
            <w:gridSpan w:val="4"/>
            <w:tcBorders>
              <w:top w:val="single" w:sz="4" w:space="0" w:color="auto"/>
              <w:left w:val="nil"/>
              <w:bottom w:val="nil"/>
              <w:right w:val="single" w:sz="4" w:space="0" w:color="000000"/>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 </w:t>
            </w:r>
          </w:p>
        </w:tc>
        <w:tc>
          <w:tcPr>
            <w:tcW w:w="1080" w:type="dxa"/>
            <w:gridSpan w:val="2"/>
            <w:tcBorders>
              <w:top w:val="single" w:sz="4" w:space="0" w:color="auto"/>
              <w:left w:val="nil"/>
              <w:bottom w:val="nil"/>
              <w:right w:val="single" w:sz="4" w:space="0" w:color="000000"/>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 </w:t>
            </w:r>
          </w:p>
        </w:tc>
      </w:tr>
      <w:tr w:rsidR="008E45C3" w:rsidRPr="00640358" w:rsidTr="007F4A48">
        <w:trPr>
          <w:trHeight w:val="2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Year</w:t>
            </w:r>
          </w:p>
        </w:tc>
        <w:tc>
          <w:tcPr>
            <w:tcW w:w="968" w:type="dxa"/>
            <w:gridSpan w:val="2"/>
            <w:tcBorders>
              <w:top w:val="nil"/>
              <w:left w:val="nil"/>
              <w:bottom w:val="single" w:sz="4" w:space="0" w:color="auto"/>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b/>
                <w:bCs/>
                <w:color w:val="000000"/>
              </w:rPr>
            </w:pPr>
            <w:r w:rsidRPr="00640358">
              <w:rPr>
                <w:rFonts w:ascii="Times New Roman" w:eastAsia="Times New Roman" w:hAnsi="Times New Roman"/>
                <w:b/>
                <w:bCs/>
                <w:color w:val="000000"/>
              </w:rPr>
              <w:t>N%</w:t>
            </w:r>
          </w:p>
        </w:tc>
        <w:tc>
          <w:tcPr>
            <w:tcW w:w="1092" w:type="dxa"/>
            <w:gridSpan w:val="2"/>
            <w:tcBorders>
              <w:top w:val="nil"/>
              <w:left w:val="nil"/>
              <w:bottom w:val="single" w:sz="4" w:space="0" w:color="auto"/>
              <w:right w:val="single" w:sz="4" w:space="0" w:color="000000"/>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b/>
                <w:bCs/>
                <w:color w:val="000000"/>
              </w:rPr>
            </w:pPr>
            <w:r w:rsidRPr="00640358">
              <w:rPr>
                <w:rFonts w:ascii="Times New Roman" w:eastAsia="Times New Roman" w:hAnsi="Times New Roman"/>
                <w:b/>
                <w:bCs/>
                <w:color w:val="000000"/>
              </w:rPr>
              <w:t>C%</w:t>
            </w:r>
          </w:p>
        </w:tc>
        <w:tc>
          <w:tcPr>
            <w:tcW w:w="1080" w:type="dxa"/>
            <w:gridSpan w:val="2"/>
            <w:tcBorders>
              <w:top w:val="nil"/>
              <w:left w:val="nil"/>
              <w:bottom w:val="single" w:sz="4" w:space="0" w:color="auto"/>
              <w:right w:val="single" w:sz="4" w:space="0" w:color="000000"/>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b/>
                <w:bCs/>
                <w:color w:val="000000"/>
              </w:rPr>
            </w:pPr>
            <w:r w:rsidRPr="00640358">
              <w:rPr>
                <w:rFonts w:ascii="Times New Roman" w:eastAsia="Times New Roman" w:hAnsi="Times New Roman"/>
                <w:b/>
                <w:bCs/>
                <w:color w:val="000000"/>
              </w:rPr>
              <w:t>C/N ratio</w:t>
            </w:r>
          </w:p>
        </w:tc>
      </w:tr>
      <w:tr w:rsidR="008E45C3" w:rsidRPr="00640358" w:rsidTr="007F4A48">
        <w:trPr>
          <w:trHeight w:val="20"/>
        </w:trPr>
        <w:tc>
          <w:tcPr>
            <w:tcW w:w="1540" w:type="dxa"/>
            <w:tcBorders>
              <w:top w:val="nil"/>
              <w:left w:val="single" w:sz="4" w:space="0" w:color="auto"/>
              <w:bottom w:val="single" w:sz="4" w:space="0" w:color="auto"/>
              <w:right w:val="nil"/>
            </w:tcBorders>
            <w:shd w:val="clear" w:color="000000" w:fill="F2F2F2"/>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Control</w:t>
            </w:r>
          </w:p>
        </w:tc>
        <w:tc>
          <w:tcPr>
            <w:tcW w:w="527" w:type="dxa"/>
            <w:tcBorders>
              <w:top w:val="nil"/>
              <w:left w:val="nil"/>
              <w:bottom w:val="single" w:sz="4" w:space="0" w:color="auto"/>
              <w:right w:val="nil"/>
            </w:tcBorders>
            <w:shd w:val="clear" w:color="000000" w:fill="F2F2F2"/>
            <w:noWrap/>
            <w:vAlign w:val="bottom"/>
            <w:hideMark/>
          </w:tcPr>
          <w:p w:rsidR="008E45C3" w:rsidRPr="00640358" w:rsidRDefault="008E45C3" w:rsidP="007F4A48">
            <w:pPr>
              <w:spacing w:line="240" w:lineRule="auto"/>
              <w:jc w:val="center"/>
              <w:rPr>
                <w:rFonts w:ascii="Times New Roman" w:eastAsia="Times New Roman" w:hAnsi="Times New Roman"/>
                <w:b/>
                <w:bCs/>
                <w:color w:val="000000"/>
              </w:rPr>
            </w:pPr>
            <w:r w:rsidRPr="00640358">
              <w:rPr>
                <w:rFonts w:ascii="Times New Roman" w:eastAsia="Times New Roman" w:hAnsi="Times New Roman"/>
                <w:b/>
                <w:bCs/>
                <w:color w:val="000000"/>
              </w:rPr>
              <w:t>1.75</w:t>
            </w:r>
          </w:p>
        </w:tc>
        <w:tc>
          <w:tcPr>
            <w:tcW w:w="441" w:type="dxa"/>
            <w:tcBorders>
              <w:top w:val="nil"/>
              <w:left w:val="nil"/>
              <w:bottom w:val="single" w:sz="4" w:space="0" w:color="auto"/>
              <w:right w:val="nil"/>
            </w:tcBorders>
            <w:shd w:val="clear" w:color="000000" w:fill="F2F2F2"/>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C</w:t>
            </w:r>
            <w:r w:rsidRPr="0028528A">
              <w:rPr>
                <w:rFonts w:ascii="Times New Roman" w:eastAsia="Times New Roman" w:hAnsi="Times New Roman"/>
                <w:b/>
                <w:bCs/>
                <w:color w:val="000000"/>
                <w:vertAlign w:val="superscript"/>
              </w:rPr>
              <w:t>z</w:t>
            </w:r>
          </w:p>
        </w:tc>
        <w:tc>
          <w:tcPr>
            <w:tcW w:w="666" w:type="dxa"/>
            <w:tcBorders>
              <w:top w:val="nil"/>
              <w:left w:val="nil"/>
              <w:bottom w:val="single" w:sz="4" w:space="0" w:color="auto"/>
              <w:right w:val="nil"/>
            </w:tcBorders>
            <w:shd w:val="clear" w:color="000000" w:fill="F2F2F2"/>
            <w:noWrap/>
            <w:vAlign w:val="bottom"/>
            <w:hideMark/>
          </w:tcPr>
          <w:p w:rsidR="008E45C3" w:rsidRPr="00640358" w:rsidRDefault="008E45C3" w:rsidP="007F4A48">
            <w:pPr>
              <w:spacing w:line="240" w:lineRule="auto"/>
              <w:jc w:val="center"/>
              <w:rPr>
                <w:rFonts w:ascii="Times New Roman" w:eastAsia="Times New Roman" w:hAnsi="Times New Roman"/>
                <w:b/>
                <w:bCs/>
                <w:color w:val="000000"/>
              </w:rPr>
            </w:pPr>
            <w:r w:rsidRPr="00640358">
              <w:rPr>
                <w:rFonts w:ascii="Times New Roman" w:eastAsia="Times New Roman" w:hAnsi="Times New Roman"/>
                <w:b/>
                <w:bCs/>
                <w:color w:val="000000"/>
              </w:rPr>
              <w:t>38.81</w:t>
            </w:r>
          </w:p>
        </w:tc>
        <w:tc>
          <w:tcPr>
            <w:tcW w:w="426" w:type="dxa"/>
            <w:tcBorders>
              <w:top w:val="nil"/>
              <w:left w:val="nil"/>
              <w:bottom w:val="single" w:sz="4" w:space="0" w:color="auto"/>
              <w:right w:val="nil"/>
            </w:tcBorders>
            <w:shd w:val="clear" w:color="000000" w:fill="F2F2F2"/>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 </w:t>
            </w:r>
          </w:p>
        </w:tc>
        <w:tc>
          <w:tcPr>
            <w:tcW w:w="659" w:type="dxa"/>
            <w:tcBorders>
              <w:top w:val="nil"/>
              <w:left w:val="nil"/>
              <w:bottom w:val="single" w:sz="4" w:space="0" w:color="auto"/>
              <w:right w:val="nil"/>
            </w:tcBorders>
            <w:shd w:val="clear" w:color="000000" w:fill="F2F2F2"/>
            <w:noWrap/>
            <w:vAlign w:val="bottom"/>
            <w:hideMark/>
          </w:tcPr>
          <w:p w:rsidR="008E45C3" w:rsidRPr="00640358" w:rsidRDefault="008E45C3" w:rsidP="007F4A48">
            <w:pPr>
              <w:spacing w:line="240" w:lineRule="auto"/>
              <w:jc w:val="center"/>
              <w:rPr>
                <w:rFonts w:ascii="Times New Roman" w:eastAsia="Times New Roman" w:hAnsi="Times New Roman"/>
                <w:b/>
                <w:bCs/>
                <w:color w:val="000000"/>
              </w:rPr>
            </w:pPr>
            <w:r w:rsidRPr="00640358">
              <w:rPr>
                <w:rFonts w:ascii="Times New Roman" w:eastAsia="Times New Roman" w:hAnsi="Times New Roman"/>
                <w:b/>
                <w:bCs/>
                <w:color w:val="000000"/>
              </w:rPr>
              <w:t>23.48</w:t>
            </w:r>
          </w:p>
        </w:tc>
        <w:tc>
          <w:tcPr>
            <w:tcW w:w="421" w:type="dxa"/>
            <w:tcBorders>
              <w:top w:val="nil"/>
              <w:left w:val="nil"/>
              <w:bottom w:val="single" w:sz="4" w:space="0" w:color="auto"/>
              <w:right w:val="single" w:sz="4" w:space="0" w:color="auto"/>
            </w:tcBorders>
            <w:shd w:val="clear" w:color="000000" w:fill="F2F2F2"/>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B</w:t>
            </w:r>
          </w:p>
        </w:tc>
      </w:tr>
      <w:tr w:rsidR="008E45C3" w:rsidRPr="00640358" w:rsidTr="007F4A48">
        <w:trPr>
          <w:trHeight w:val="20"/>
        </w:trPr>
        <w:tc>
          <w:tcPr>
            <w:tcW w:w="1540" w:type="dxa"/>
            <w:tcBorders>
              <w:top w:val="nil"/>
              <w:left w:val="single" w:sz="4" w:space="0" w:color="auto"/>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2014</w:t>
            </w:r>
          </w:p>
        </w:tc>
        <w:tc>
          <w:tcPr>
            <w:tcW w:w="527"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1.82</w:t>
            </w:r>
          </w:p>
        </w:tc>
        <w:tc>
          <w:tcPr>
            <w:tcW w:w="441"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p>
        </w:tc>
        <w:tc>
          <w:tcPr>
            <w:tcW w:w="666"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38.56</w:t>
            </w:r>
          </w:p>
        </w:tc>
        <w:tc>
          <w:tcPr>
            <w:tcW w:w="426" w:type="dxa"/>
            <w:tcBorders>
              <w:top w:val="nil"/>
              <w:left w:val="nil"/>
              <w:bottom w:val="nil"/>
              <w:right w:val="nil"/>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color w:val="000000"/>
              </w:rPr>
            </w:pPr>
            <w:r>
              <w:rPr>
                <w:rFonts w:ascii="Times New Roman" w:eastAsia="Times New Roman" w:hAnsi="Times New Roman"/>
                <w:color w:val="000000"/>
              </w:rPr>
              <w:t>cd</w:t>
            </w:r>
          </w:p>
        </w:tc>
        <w:tc>
          <w:tcPr>
            <w:tcW w:w="659"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22.66</w:t>
            </w:r>
          </w:p>
        </w:tc>
        <w:tc>
          <w:tcPr>
            <w:tcW w:w="421" w:type="dxa"/>
            <w:tcBorders>
              <w:top w:val="nil"/>
              <w:left w:val="nil"/>
              <w:bottom w:val="nil"/>
              <w:right w:val="single" w:sz="4" w:space="0" w:color="auto"/>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 </w:t>
            </w:r>
          </w:p>
        </w:tc>
      </w:tr>
      <w:tr w:rsidR="008E45C3" w:rsidRPr="00640358" w:rsidTr="007F4A48">
        <w:trPr>
          <w:trHeight w:val="20"/>
        </w:trPr>
        <w:tc>
          <w:tcPr>
            <w:tcW w:w="1540" w:type="dxa"/>
            <w:tcBorders>
              <w:top w:val="nil"/>
              <w:left w:val="single" w:sz="4" w:space="0" w:color="auto"/>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2015</w:t>
            </w:r>
          </w:p>
        </w:tc>
        <w:tc>
          <w:tcPr>
            <w:tcW w:w="527"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1.68</w:t>
            </w:r>
          </w:p>
        </w:tc>
        <w:tc>
          <w:tcPr>
            <w:tcW w:w="441"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p>
        </w:tc>
        <w:tc>
          <w:tcPr>
            <w:tcW w:w="666"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39.06</w:t>
            </w:r>
          </w:p>
        </w:tc>
        <w:tc>
          <w:tcPr>
            <w:tcW w:w="426" w:type="dxa"/>
            <w:tcBorders>
              <w:top w:val="nil"/>
              <w:left w:val="nil"/>
              <w:bottom w:val="nil"/>
              <w:right w:val="nil"/>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color w:val="000000"/>
              </w:rPr>
            </w:pPr>
            <w:r>
              <w:rPr>
                <w:rFonts w:ascii="Times New Roman" w:eastAsia="Times New Roman" w:hAnsi="Times New Roman"/>
                <w:color w:val="000000"/>
              </w:rPr>
              <w:t>c</w:t>
            </w:r>
          </w:p>
        </w:tc>
        <w:tc>
          <w:tcPr>
            <w:tcW w:w="659"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24.29</w:t>
            </w:r>
          </w:p>
        </w:tc>
        <w:tc>
          <w:tcPr>
            <w:tcW w:w="421" w:type="dxa"/>
            <w:tcBorders>
              <w:top w:val="nil"/>
              <w:left w:val="nil"/>
              <w:bottom w:val="nil"/>
              <w:right w:val="single" w:sz="4" w:space="0" w:color="auto"/>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 </w:t>
            </w:r>
          </w:p>
        </w:tc>
      </w:tr>
      <w:tr w:rsidR="008E45C3" w:rsidRPr="00640358" w:rsidTr="007F4A48">
        <w:trPr>
          <w:trHeight w:val="20"/>
        </w:trPr>
        <w:tc>
          <w:tcPr>
            <w:tcW w:w="1540" w:type="dxa"/>
            <w:tcBorders>
              <w:top w:val="single" w:sz="4" w:space="0" w:color="auto"/>
              <w:left w:val="single" w:sz="4" w:space="0" w:color="auto"/>
              <w:bottom w:val="single" w:sz="4" w:space="0" w:color="auto"/>
              <w:right w:val="nil"/>
            </w:tcBorders>
            <w:shd w:val="clear" w:color="000000" w:fill="F2F2F2"/>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Winter Peas</w:t>
            </w:r>
          </w:p>
        </w:tc>
        <w:tc>
          <w:tcPr>
            <w:tcW w:w="527" w:type="dxa"/>
            <w:tcBorders>
              <w:top w:val="single" w:sz="4" w:space="0" w:color="auto"/>
              <w:left w:val="nil"/>
              <w:bottom w:val="single" w:sz="4" w:space="0" w:color="auto"/>
              <w:right w:val="nil"/>
            </w:tcBorders>
            <w:shd w:val="clear" w:color="000000" w:fill="F2F2F2"/>
            <w:noWrap/>
            <w:vAlign w:val="bottom"/>
            <w:hideMark/>
          </w:tcPr>
          <w:p w:rsidR="008E45C3" w:rsidRPr="00640358" w:rsidRDefault="008E45C3" w:rsidP="007F4A48">
            <w:pPr>
              <w:spacing w:line="240" w:lineRule="auto"/>
              <w:jc w:val="center"/>
              <w:rPr>
                <w:rFonts w:ascii="Times New Roman" w:eastAsia="Times New Roman" w:hAnsi="Times New Roman"/>
                <w:b/>
                <w:bCs/>
                <w:color w:val="000000"/>
              </w:rPr>
            </w:pPr>
            <w:r w:rsidRPr="00640358">
              <w:rPr>
                <w:rFonts w:ascii="Times New Roman" w:eastAsia="Times New Roman" w:hAnsi="Times New Roman"/>
                <w:b/>
                <w:bCs/>
                <w:color w:val="000000"/>
              </w:rPr>
              <w:t>3.78</w:t>
            </w:r>
          </w:p>
        </w:tc>
        <w:tc>
          <w:tcPr>
            <w:tcW w:w="441" w:type="dxa"/>
            <w:tcBorders>
              <w:top w:val="single" w:sz="4" w:space="0" w:color="auto"/>
              <w:left w:val="nil"/>
              <w:bottom w:val="single" w:sz="4" w:space="0" w:color="auto"/>
              <w:right w:val="nil"/>
            </w:tcBorders>
            <w:shd w:val="clear" w:color="000000" w:fill="F2F2F2"/>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A</w:t>
            </w:r>
          </w:p>
        </w:tc>
        <w:tc>
          <w:tcPr>
            <w:tcW w:w="666" w:type="dxa"/>
            <w:tcBorders>
              <w:top w:val="single" w:sz="4" w:space="0" w:color="auto"/>
              <w:left w:val="nil"/>
              <w:bottom w:val="single" w:sz="4" w:space="0" w:color="auto"/>
              <w:right w:val="nil"/>
            </w:tcBorders>
            <w:shd w:val="clear" w:color="000000" w:fill="F2F2F2"/>
            <w:noWrap/>
            <w:vAlign w:val="bottom"/>
            <w:hideMark/>
          </w:tcPr>
          <w:p w:rsidR="008E45C3" w:rsidRPr="00640358" w:rsidRDefault="008E45C3" w:rsidP="007F4A48">
            <w:pPr>
              <w:spacing w:line="240" w:lineRule="auto"/>
              <w:jc w:val="center"/>
              <w:rPr>
                <w:rFonts w:ascii="Times New Roman" w:eastAsia="Times New Roman" w:hAnsi="Times New Roman"/>
                <w:b/>
                <w:bCs/>
                <w:color w:val="000000"/>
              </w:rPr>
            </w:pPr>
            <w:r w:rsidRPr="00640358">
              <w:rPr>
                <w:rFonts w:ascii="Times New Roman" w:eastAsia="Times New Roman" w:hAnsi="Times New Roman"/>
                <w:b/>
                <w:bCs/>
                <w:color w:val="000000"/>
              </w:rPr>
              <w:t>41.17</w:t>
            </w:r>
          </w:p>
        </w:tc>
        <w:tc>
          <w:tcPr>
            <w:tcW w:w="426" w:type="dxa"/>
            <w:tcBorders>
              <w:top w:val="single" w:sz="4" w:space="0" w:color="auto"/>
              <w:left w:val="nil"/>
              <w:bottom w:val="single" w:sz="4" w:space="0" w:color="auto"/>
              <w:right w:val="nil"/>
            </w:tcBorders>
            <w:shd w:val="clear" w:color="000000" w:fill="F2F2F2"/>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 </w:t>
            </w:r>
          </w:p>
        </w:tc>
        <w:tc>
          <w:tcPr>
            <w:tcW w:w="659" w:type="dxa"/>
            <w:tcBorders>
              <w:top w:val="single" w:sz="4" w:space="0" w:color="auto"/>
              <w:left w:val="nil"/>
              <w:bottom w:val="single" w:sz="4" w:space="0" w:color="auto"/>
              <w:right w:val="nil"/>
            </w:tcBorders>
            <w:shd w:val="clear" w:color="000000" w:fill="F2F2F2"/>
            <w:noWrap/>
            <w:vAlign w:val="bottom"/>
            <w:hideMark/>
          </w:tcPr>
          <w:p w:rsidR="008E45C3" w:rsidRPr="00640358" w:rsidRDefault="008E45C3" w:rsidP="007F4A48">
            <w:pPr>
              <w:spacing w:line="240" w:lineRule="auto"/>
              <w:jc w:val="center"/>
              <w:rPr>
                <w:rFonts w:ascii="Times New Roman" w:eastAsia="Times New Roman" w:hAnsi="Times New Roman"/>
                <w:b/>
                <w:bCs/>
                <w:color w:val="000000"/>
              </w:rPr>
            </w:pPr>
            <w:r w:rsidRPr="00640358">
              <w:rPr>
                <w:rFonts w:ascii="Times New Roman" w:eastAsia="Times New Roman" w:hAnsi="Times New Roman"/>
                <w:b/>
                <w:bCs/>
                <w:color w:val="000000"/>
              </w:rPr>
              <w:t>11.01</w:t>
            </w:r>
          </w:p>
        </w:tc>
        <w:tc>
          <w:tcPr>
            <w:tcW w:w="421" w:type="dxa"/>
            <w:tcBorders>
              <w:top w:val="single" w:sz="4" w:space="0" w:color="auto"/>
              <w:left w:val="nil"/>
              <w:bottom w:val="single" w:sz="4" w:space="0" w:color="auto"/>
              <w:right w:val="single" w:sz="4" w:space="0" w:color="auto"/>
            </w:tcBorders>
            <w:shd w:val="clear" w:color="000000" w:fill="F2F2F2"/>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C</w:t>
            </w:r>
          </w:p>
        </w:tc>
      </w:tr>
      <w:tr w:rsidR="008E45C3" w:rsidRPr="00640358" w:rsidTr="007F4A48">
        <w:trPr>
          <w:trHeight w:val="20"/>
        </w:trPr>
        <w:tc>
          <w:tcPr>
            <w:tcW w:w="1540" w:type="dxa"/>
            <w:tcBorders>
              <w:top w:val="nil"/>
              <w:left w:val="single" w:sz="4" w:space="0" w:color="auto"/>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2014</w:t>
            </w:r>
          </w:p>
        </w:tc>
        <w:tc>
          <w:tcPr>
            <w:tcW w:w="527"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3.81</w:t>
            </w:r>
          </w:p>
        </w:tc>
        <w:tc>
          <w:tcPr>
            <w:tcW w:w="441"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p>
        </w:tc>
        <w:tc>
          <w:tcPr>
            <w:tcW w:w="666"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38.67</w:t>
            </w:r>
          </w:p>
        </w:tc>
        <w:tc>
          <w:tcPr>
            <w:tcW w:w="426" w:type="dxa"/>
            <w:tcBorders>
              <w:top w:val="nil"/>
              <w:left w:val="nil"/>
              <w:bottom w:val="nil"/>
              <w:right w:val="nil"/>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color w:val="000000"/>
              </w:rPr>
            </w:pPr>
            <w:r>
              <w:rPr>
                <w:rFonts w:ascii="Times New Roman" w:eastAsia="Times New Roman" w:hAnsi="Times New Roman"/>
                <w:color w:val="000000"/>
              </w:rPr>
              <w:t>cd</w:t>
            </w:r>
          </w:p>
        </w:tc>
        <w:tc>
          <w:tcPr>
            <w:tcW w:w="659"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10.32</w:t>
            </w:r>
          </w:p>
        </w:tc>
        <w:tc>
          <w:tcPr>
            <w:tcW w:w="421" w:type="dxa"/>
            <w:tcBorders>
              <w:top w:val="nil"/>
              <w:left w:val="nil"/>
              <w:bottom w:val="nil"/>
              <w:right w:val="single" w:sz="4" w:space="0" w:color="auto"/>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 </w:t>
            </w:r>
          </w:p>
        </w:tc>
      </w:tr>
      <w:tr w:rsidR="008E45C3" w:rsidRPr="00640358" w:rsidTr="007F4A48">
        <w:trPr>
          <w:trHeight w:val="20"/>
        </w:trPr>
        <w:tc>
          <w:tcPr>
            <w:tcW w:w="1540" w:type="dxa"/>
            <w:tcBorders>
              <w:top w:val="nil"/>
              <w:left w:val="single" w:sz="4" w:space="0" w:color="auto"/>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2015</w:t>
            </w:r>
          </w:p>
        </w:tc>
        <w:tc>
          <w:tcPr>
            <w:tcW w:w="527"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3.75</w:t>
            </w:r>
          </w:p>
        </w:tc>
        <w:tc>
          <w:tcPr>
            <w:tcW w:w="441"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p>
        </w:tc>
        <w:tc>
          <w:tcPr>
            <w:tcW w:w="666"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43.67</w:t>
            </w:r>
          </w:p>
        </w:tc>
        <w:tc>
          <w:tcPr>
            <w:tcW w:w="426" w:type="dxa"/>
            <w:tcBorders>
              <w:top w:val="nil"/>
              <w:left w:val="nil"/>
              <w:bottom w:val="nil"/>
              <w:right w:val="nil"/>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color w:val="000000"/>
              </w:rPr>
            </w:pPr>
            <w:r>
              <w:rPr>
                <w:rFonts w:ascii="Times New Roman" w:eastAsia="Times New Roman" w:hAnsi="Times New Roman"/>
                <w:color w:val="000000"/>
              </w:rPr>
              <w:t>a</w:t>
            </w:r>
          </w:p>
        </w:tc>
        <w:tc>
          <w:tcPr>
            <w:tcW w:w="659"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11.70</w:t>
            </w:r>
          </w:p>
        </w:tc>
        <w:tc>
          <w:tcPr>
            <w:tcW w:w="421" w:type="dxa"/>
            <w:tcBorders>
              <w:top w:val="nil"/>
              <w:left w:val="nil"/>
              <w:bottom w:val="nil"/>
              <w:right w:val="single" w:sz="4" w:space="0" w:color="auto"/>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 </w:t>
            </w:r>
          </w:p>
        </w:tc>
      </w:tr>
      <w:tr w:rsidR="008E45C3" w:rsidRPr="00640358" w:rsidTr="007F4A48">
        <w:trPr>
          <w:trHeight w:val="20"/>
        </w:trPr>
        <w:tc>
          <w:tcPr>
            <w:tcW w:w="1540" w:type="dxa"/>
            <w:tcBorders>
              <w:top w:val="single" w:sz="4" w:space="0" w:color="auto"/>
              <w:left w:val="single" w:sz="4" w:space="0" w:color="auto"/>
              <w:bottom w:val="single" w:sz="4" w:space="0" w:color="auto"/>
              <w:right w:val="nil"/>
            </w:tcBorders>
            <w:shd w:val="clear" w:color="000000" w:fill="F2F2F2"/>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Bell Beans</w:t>
            </w:r>
          </w:p>
        </w:tc>
        <w:tc>
          <w:tcPr>
            <w:tcW w:w="527" w:type="dxa"/>
            <w:tcBorders>
              <w:top w:val="single" w:sz="4" w:space="0" w:color="auto"/>
              <w:left w:val="nil"/>
              <w:bottom w:val="single" w:sz="4" w:space="0" w:color="auto"/>
              <w:right w:val="nil"/>
            </w:tcBorders>
            <w:shd w:val="clear" w:color="000000" w:fill="F2F2F2"/>
            <w:noWrap/>
            <w:vAlign w:val="bottom"/>
            <w:hideMark/>
          </w:tcPr>
          <w:p w:rsidR="008E45C3" w:rsidRPr="00640358" w:rsidRDefault="008E45C3" w:rsidP="007F4A48">
            <w:pPr>
              <w:spacing w:line="240" w:lineRule="auto"/>
              <w:jc w:val="center"/>
              <w:rPr>
                <w:rFonts w:ascii="Times New Roman" w:eastAsia="Times New Roman" w:hAnsi="Times New Roman"/>
                <w:b/>
                <w:bCs/>
                <w:color w:val="000000"/>
              </w:rPr>
            </w:pPr>
            <w:r w:rsidRPr="00640358">
              <w:rPr>
                <w:rFonts w:ascii="Times New Roman" w:eastAsia="Times New Roman" w:hAnsi="Times New Roman"/>
                <w:b/>
                <w:bCs/>
                <w:color w:val="000000"/>
              </w:rPr>
              <w:t>3.14</w:t>
            </w:r>
          </w:p>
        </w:tc>
        <w:tc>
          <w:tcPr>
            <w:tcW w:w="441" w:type="dxa"/>
            <w:tcBorders>
              <w:top w:val="single" w:sz="4" w:space="0" w:color="auto"/>
              <w:left w:val="nil"/>
              <w:bottom w:val="single" w:sz="4" w:space="0" w:color="auto"/>
              <w:right w:val="nil"/>
            </w:tcBorders>
            <w:shd w:val="clear" w:color="000000" w:fill="F2F2F2"/>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B</w:t>
            </w:r>
          </w:p>
        </w:tc>
        <w:tc>
          <w:tcPr>
            <w:tcW w:w="666" w:type="dxa"/>
            <w:tcBorders>
              <w:top w:val="single" w:sz="4" w:space="0" w:color="auto"/>
              <w:left w:val="nil"/>
              <w:bottom w:val="single" w:sz="4" w:space="0" w:color="auto"/>
              <w:right w:val="nil"/>
            </w:tcBorders>
            <w:shd w:val="clear" w:color="000000" w:fill="F2F2F2"/>
            <w:noWrap/>
            <w:vAlign w:val="bottom"/>
            <w:hideMark/>
          </w:tcPr>
          <w:p w:rsidR="008E45C3" w:rsidRPr="00640358" w:rsidRDefault="008E45C3" w:rsidP="007F4A48">
            <w:pPr>
              <w:spacing w:line="240" w:lineRule="auto"/>
              <w:jc w:val="center"/>
              <w:rPr>
                <w:rFonts w:ascii="Times New Roman" w:eastAsia="Times New Roman" w:hAnsi="Times New Roman"/>
                <w:b/>
                <w:bCs/>
                <w:color w:val="000000"/>
              </w:rPr>
            </w:pPr>
            <w:r w:rsidRPr="00640358">
              <w:rPr>
                <w:rFonts w:ascii="Times New Roman" w:eastAsia="Times New Roman" w:hAnsi="Times New Roman"/>
                <w:b/>
                <w:bCs/>
                <w:color w:val="000000"/>
              </w:rPr>
              <w:t>41.13</w:t>
            </w:r>
          </w:p>
        </w:tc>
        <w:tc>
          <w:tcPr>
            <w:tcW w:w="426" w:type="dxa"/>
            <w:tcBorders>
              <w:top w:val="single" w:sz="4" w:space="0" w:color="auto"/>
              <w:left w:val="nil"/>
              <w:bottom w:val="single" w:sz="4" w:space="0" w:color="auto"/>
              <w:right w:val="nil"/>
            </w:tcBorders>
            <w:shd w:val="clear" w:color="000000" w:fill="F2F2F2"/>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 </w:t>
            </w:r>
          </w:p>
        </w:tc>
        <w:tc>
          <w:tcPr>
            <w:tcW w:w="659" w:type="dxa"/>
            <w:tcBorders>
              <w:top w:val="single" w:sz="4" w:space="0" w:color="auto"/>
              <w:left w:val="nil"/>
              <w:bottom w:val="single" w:sz="4" w:space="0" w:color="auto"/>
              <w:right w:val="nil"/>
            </w:tcBorders>
            <w:shd w:val="clear" w:color="000000" w:fill="F2F2F2"/>
            <w:noWrap/>
            <w:vAlign w:val="bottom"/>
            <w:hideMark/>
          </w:tcPr>
          <w:p w:rsidR="008E45C3" w:rsidRPr="00640358" w:rsidRDefault="008E45C3" w:rsidP="007F4A48">
            <w:pPr>
              <w:spacing w:line="240" w:lineRule="auto"/>
              <w:jc w:val="center"/>
              <w:rPr>
                <w:rFonts w:ascii="Times New Roman" w:eastAsia="Times New Roman" w:hAnsi="Times New Roman"/>
                <w:b/>
                <w:bCs/>
                <w:color w:val="000000"/>
              </w:rPr>
            </w:pPr>
            <w:r w:rsidRPr="00640358">
              <w:rPr>
                <w:rFonts w:ascii="Times New Roman" w:eastAsia="Times New Roman" w:hAnsi="Times New Roman"/>
                <w:b/>
                <w:bCs/>
                <w:color w:val="000000"/>
              </w:rPr>
              <w:t>13.43</w:t>
            </w:r>
          </w:p>
        </w:tc>
        <w:tc>
          <w:tcPr>
            <w:tcW w:w="421" w:type="dxa"/>
            <w:tcBorders>
              <w:top w:val="single" w:sz="4" w:space="0" w:color="auto"/>
              <w:left w:val="nil"/>
              <w:bottom w:val="single" w:sz="4" w:space="0" w:color="auto"/>
              <w:right w:val="single" w:sz="4" w:space="0" w:color="auto"/>
            </w:tcBorders>
            <w:shd w:val="clear" w:color="000000" w:fill="F2F2F2"/>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C</w:t>
            </w:r>
          </w:p>
        </w:tc>
      </w:tr>
      <w:tr w:rsidR="008E45C3" w:rsidRPr="00640358" w:rsidTr="007F4A48">
        <w:trPr>
          <w:trHeight w:val="20"/>
        </w:trPr>
        <w:tc>
          <w:tcPr>
            <w:tcW w:w="1540" w:type="dxa"/>
            <w:tcBorders>
              <w:top w:val="nil"/>
              <w:left w:val="single" w:sz="4" w:space="0" w:color="auto"/>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2014</w:t>
            </w:r>
          </w:p>
        </w:tc>
        <w:tc>
          <w:tcPr>
            <w:tcW w:w="527"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3.28</w:t>
            </w:r>
          </w:p>
        </w:tc>
        <w:tc>
          <w:tcPr>
            <w:tcW w:w="441"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p>
        </w:tc>
        <w:tc>
          <w:tcPr>
            <w:tcW w:w="666"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38.83</w:t>
            </w:r>
          </w:p>
        </w:tc>
        <w:tc>
          <w:tcPr>
            <w:tcW w:w="426" w:type="dxa"/>
            <w:tcBorders>
              <w:top w:val="nil"/>
              <w:left w:val="nil"/>
              <w:bottom w:val="nil"/>
              <w:right w:val="nil"/>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color w:val="000000"/>
              </w:rPr>
            </w:pPr>
            <w:r>
              <w:rPr>
                <w:rFonts w:ascii="Times New Roman" w:eastAsia="Times New Roman" w:hAnsi="Times New Roman"/>
                <w:color w:val="000000"/>
              </w:rPr>
              <w:t>cd</w:t>
            </w:r>
          </w:p>
        </w:tc>
        <w:tc>
          <w:tcPr>
            <w:tcW w:w="659"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12.05</w:t>
            </w:r>
          </w:p>
        </w:tc>
        <w:tc>
          <w:tcPr>
            <w:tcW w:w="421" w:type="dxa"/>
            <w:tcBorders>
              <w:top w:val="nil"/>
              <w:left w:val="nil"/>
              <w:bottom w:val="nil"/>
              <w:right w:val="single" w:sz="4" w:space="0" w:color="auto"/>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 </w:t>
            </w:r>
          </w:p>
        </w:tc>
      </w:tr>
      <w:tr w:rsidR="008E45C3" w:rsidRPr="00640358" w:rsidTr="007F4A48">
        <w:trPr>
          <w:trHeight w:val="20"/>
        </w:trPr>
        <w:tc>
          <w:tcPr>
            <w:tcW w:w="1540" w:type="dxa"/>
            <w:tcBorders>
              <w:top w:val="nil"/>
              <w:left w:val="single" w:sz="4" w:space="0" w:color="auto"/>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2015</w:t>
            </w:r>
          </w:p>
        </w:tc>
        <w:tc>
          <w:tcPr>
            <w:tcW w:w="527"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3.00</w:t>
            </w:r>
          </w:p>
        </w:tc>
        <w:tc>
          <w:tcPr>
            <w:tcW w:w="441"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p>
        </w:tc>
        <w:tc>
          <w:tcPr>
            <w:tcW w:w="666"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43.44</w:t>
            </w:r>
          </w:p>
        </w:tc>
        <w:tc>
          <w:tcPr>
            <w:tcW w:w="426" w:type="dxa"/>
            <w:tcBorders>
              <w:top w:val="nil"/>
              <w:left w:val="nil"/>
              <w:bottom w:val="nil"/>
              <w:right w:val="nil"/>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color w:val="000000"/>
              </w:rPr>
            </w:pPr>
            <w:r>
              <w:rPr>
                <w:rFonts w:ascii="Times New Roman" w:eastAsia="Times New Roman" w:hAnsi="Times New Roman"/>
                <w:color w:val="000000"/>
              </w:rPr>
              <w:t>ab</w:t>
            </w:r>
          </w:p>
        </w:tc>
        <w:tc>
          <w:tcPr>
            <w:tcW w:w="659"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14.82</w:t>
            </w:r>
          </w:p>
        </w:tc>
        <w:tc>
          <w:tcPr>
            <w:tcW w:w="421" w:type="dxa"/>
            <w:tcBorders>
              <w:top w:val="nil"/>
              <w:left w:val="nil"/>
              <w:bottom w:val="nil"/>
              <w:right w:val="single" w:sz="4" w:space="0" w:color="auto"/>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 </w:t>
            </w:r>
          </w:p>
        </w:tc>
      </w:tr>
      <w:tr w:rsidR="008E45C3" w:rsidRPr="00640358" w:rsidTr="007F4A48">
        <w:trPr>
          <w:trHeight w:val="20"/>
        </w:trPr>
        <w:tc>
          <w:tcPr>
            <w:tcW w:w="1540" w:type="dxa"/>
            <w:tcBorders>
              <w:top w:val="single" w:sz="4" w:space="0" w:color="auto"/>
              <w:left w:val="single" w:sz="4" w:space="0" w:color="auto"/>
              <w:bottom w:val="single" w:sz="4" w:space="0" w:color="auto"/>
              <w:right w:val="nil"/>
            </w:tcBorders>
            <w:shd w:val="clear" w:color="000000" w:fill="F2F2F2"/>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Mustard</w:t>
            </w:r>
          </w:p>
        </w:tc>
        <w:tc>
          <w:tcPr>
            <w:tcW w:w="527" w:type="dxa"/>
            <w:tcBorders>
              <w:top w:val="single" w:sz="4" w:space="0" w:color="auto"/>
              <w:left w:val="nil"/>
              <w:bottom w:val="single" w:sz="4" w:space="0" w:color="auto"/>
              <w:right w:val="nil"/>
            </w:tcBorders>
            <w:shd w:val="clear" w:color="000000" w:fill="F2F2F2"/>
            <w:noWrap/>
            <w:vAlign w:val="bottom"/>
            <w:hideMark/>
          </w:tcPr>
          <w:p w:rsidR="008E45C3" w:rsidRPr="00640358" w:rsidRDefault="008E45C3" w:rsidP="007F4A48">
            <w:pPr>
              <w:spacing w:line="240" w:lineRule="auto"/>
              <w:jc w:val="center"/>
              <w:rPr>
                <w:rFonts w:ascii="Times New Roman" w:eastAsia="Times New Roman" w:hAnsi="Times New Roman"/>
                <w:b/>
                <w:bCs/>
                <w:color w:val="000000"/>
              </w:rPr>
            </w:pPr>
            <w:r w:rsidRPr="00640358">
              <w:rPr>
                <w:rFonts w:ascii="Times New Roman" w:eastAsia="Times New Roman" w:hAnsi="Times New Roman"/>
                <w:b/>
                <w:bCs/>
                <w:color w:val="000000"/>
              </w:rPr>
              <w:t>1.54</w:t>
            </w:r>
          </w:p>
        </w:tc>
        <w:tc>
          <w:tcPr>
            <w:tcW w:w="441" w:type="dxa"/>
            <w:tcBorders>
              <w:top w:val="single" w:sz="4" w:space="0" w:color="auto"/>
              <w:left w:val="nil"/>
              <w:bottom w:val="single" w:sz="4" w:space="0" w:color="auto"/>
              <w:right w:val="nil"/>
            </w:tcBorders>
            <w:shd w:val="clear" w:color="000000" w:fill="F2F2F2"/>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CD</w:t>
            </w:r>
          </w:p>
        </w:tc>
        <w:tc>
          <w:tcPr>
            <w:tcW w:w="666" w:type="dxa"/>
            <w:tcBorders>
              <w:top w:val="single" w:sz="4" w:space="0" w:color="auto"/>
              <w:left w:val="nil"/>
              <w:bottom w:val="single" w:sz="4" w:space="0" w:color="auto"/>
              <w:right w:val="nil"/>
            </w:tcBorders>
            <w:shd w:val="clear" w:color="000000" w:fill="F2F2F2"/>
            <w:noWrap/>
            <w:vAlign w:val="bottom"/>
            <w:hideMark/>
          </w:tcPr>
          <w:p w:rsidR="008E45C3" w:rsidRPr="00640358" w:rsidRDefault="008E45C3" w:rsidP="007F4A48">
            <w:pPr>
              <w:spacing w:line="240" w:lineRule="auto"/>
              <w:jc w:val="center"/>
              <w:rPr>
                <w:rFonts w:ascii="Times New Roman" w:eastAsia="Times New Roman" w:hAnsi="Times New Roman"/>
                <w:b/>
                <w:bCs/>
                <w:color w:val="000000"/>
              </w:rPr>
            </w:pPr>
            <w:r w:rsidRPr="00640358">
              <w:rPr>
                <w:rFonts w:ascii="Times New Roman" w:eastAsia="Times New Roman" w:hAnsi="Times New Roman"/>
                <w:b/>
                <w:bCs/>
                <w:color w:val="000000"/>
              </w:rPr>
              <w:t>39.17</w:t>
            </w:r>
          </w:p>
        </w:tc>
        <w:tc>
          <w:tcPr>
            <w:tcW w:w="426" w:type="dxa"/>
            <w:tcBorders>
              <w:top w:val="single" w:sz="4" w:space="0" w:color="auto"/>
              <w:left w:val="nil"/>
              <w:bottom w:val="single" w:sz="4" w:space="0" w:color="auto"/>
              <w:right w:val="nil"/>
            </w:tcBorders>
            <w:shd w:val="clear" w:color="000000" w:fill="F2F2F2"/>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 </w:t>
            </w:r>
          </w:p>
        </w:tc>
        <w:tc>
          <w:tcPr>
            <w:tcW w:w="659" w:type="dxa"/>
            <w:tcBorders>
              <w:top w:val="single" w:sz="4" w:space="0" w:color="auto"/>
              <w:left w:val="nil"/>
              <w:bottom w:val="single" w:sz="4" w:space="0" w:color="auto"/>
              <w:right w:val="nil"/>
            </w:tcBorders>
            <w:shd w:val="clear" w:color="000000" w:fill="F2F2F2"/>
            <w:noWrap/>
            <w:vAlign w:val="bottom"/>
            <w:hideMark/>
          </w:tcPr>
          <w:p w:rsidR="008E45C3" w:rsidRPr="00640358" w:rsidRDefault="008E45C3" w:rsidP="007F4A48">
            <w:pPr>
              <w:spacing w:line="240" w:lineRule="auto"/>
              <w:jc w:val="center"/>
              <w:rPr>
                <w:rFonts w:ascii="Times New Roman" w:eastAsia="Times New Roman" w:hAnsi="Times New Roman"/>
                <w:b/>
                <w:bCs/>
                <w:color w:val="000000"/>
              </w:rPr>
            </w:pPr>
            <w:r w:rsidRPr="00640358">
              <w:rPr>
                <w:rFonts w:ascii="Times New Roman" w:eastAsia="Times New Roman" w:hAnsi="Times New Roman"/>
                <w:b/>
                <w:bCs/>
                <w:color w:val="000000"/>
              </w:rPr>
              <w:t>25.90</w:t>
            </w:r>
          </w:p>
        </w:tc>
        <w:tc>
          <w:tcPr>
            <w:tcW w:w="421" w:type="dxa"/>
            <w:tcBorders>
              <w:top w:val="single" w:sz="4" w:space="0" w:color="auto"/>
              <w:left w:val="nil"/>
              <w:bottom w:val="single" w:sz="4" w:space="0" w:color="auto"/>
              <w:right w:val="single" w:sz="4" w:space="0" w:color="auto"/>
            </w:tcBorders>
            <w:shd w:val="clear" w:color="000000" w:fill="F2F2F2"/>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AB</w:t>
            </w:r>
          </w:p>
        </w:tc>
      </w:tr>
      <w:tr w:rsidR="008E45C3" w:rsidRPr="00640358" w:rsidTr="007F4A48">
        <w:trPr>
          <w:trHeight w:val="20"/>
        </w:trPr>
        <w:tc>
          <w:tcPr>
            <w:tcW w:w="1540" w:type="dxa"/>
            <w:tcBorders>
              <w:top w:val="nil"/>
              <w:left w:val="single" w:sz="4" w:space="0" w:color="auto"/>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2014</w:t>
            </w:r>
          </w:p>
        </w:tc>
        <w:tc>
          <w:tcPr>
            <w:tcW w:w="527"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1.60</w:t>
            </w:r>
          </w:p>
        </w:tc>
        <w:tc>
          <w:tcPr>
            <w:tcW w:w="441"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p>
        </w:tc>
        <w:tc>
          <w:tcPr>
            <w:tcW w:w="666"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36.93</w:t>
            </w:r>
          </w:p>
        </w:tc>
        <w:tc>
          <w:tcPr>
            <w:tcW w:w="426" w:type="dxa"/>
            <w:tcBorders>
              <w:top w:val="nil"/>
              <w:left w:val="nil"/>
              <w:bottom w:val="nil"/>
              <w:right w:val="nil"/>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color w:val="000000"/>
              </w:rPr>
            </w:pPr>
            <w:r>
              <w:rPr>
                <w:rFonts w:ascii="Times New Roman" w:eastAsia="Times New Roman" w:hAnsi="Times New Roman"/>
                <w:color w:val="000000"/>
              </w:rPr>
              <w:t>de</w:t>
            </w:r>
          </w:p>
        </w:tc>
        <w:tc>
          <w:tcPr>
            <w:tcW w:w="659"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23.26</w:t>
            </w:r>
          </w:p>
        </w:tc>
        <w:tc>
          <w:tcPr>
            <w:tcW w:w="421" w:type="dxa"/>
            <w:tcBorders>
              <w:top w:val="nil"/>
              <w:left w:val="nil"/>
              <w:bottom w:val="nil"/>
              <w:right w:val="single" w:sz="4" w:space="0" w:color="auto"/>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 </w:t>
            </w:r>
          </w:p>
        </w:tc>
      </w:tr>
      <w:tr w:rsidR="008E45C3" w:rsidRPr="00640358" w:rsidTr="007F4A48">
        <w:trPr>
          <w:trHeight w:val="20"/>
        </w:trPr>
        <w:tc>
          <w:tcPr>
            <w:tcW w:w="1540" w:type="dxa"/>
            <w:tcBorders>
              <w:top w:val="nil"/>
              <w:left w:val="single" w:sz="4" w:space="0" w:color="auto"/>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2015</w:t>
            </w:r>
          </w:p>
        </w:tc>
        <w:tc>
          <w:tcPr>
            <w:tcW w:w="527"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1.48</w:t>
            </w:r>
          </w:p>
        </w:tc>
        <w:tc>
          <w:tcPr>
            <w:tcW w:w="441"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p>
        </w:tc>
        <w:tc>
          <w:tcPr>
            <w:tcW w:w="666"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41.41</w:t>
            </w:r>
          </w:p>
        </w:tc>
        <w:tc>
          <w:tcPr>
            <w:tcW w:w="426" w:type="dxa"/>
            <w:tcBorders>
              <w:top w:val="nil"/>
              <w:left w:val="nil"/>
              <w:bottom w:val="nil"/>
              <w:right w:val="nil"/>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color w:val="000000"/>
              </w:rPr>
            </w:pPr>
            <w:r>
              <w:rPr>
                <w:rFonts w:ascii="Times New Roman" w:eastAsia="Times New Roman" w:hAnsi="Times New Roman"/>
                <w:color w:val="000000"/>
              </w:rPr>
              <w:t>b</w:t>
            </w:r>
          </w:p>
        </w:tc>
        <w:tc>
          <w:tcPr>
            <w:tcW w:w="659"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28.53</w:t>
            </w:r>
          </w:p>
        </w:tc>
        <w:tc>
          <w:tcPr>
            <w:tcW w:w="421" w:type="dxa"/>
            <w:tcBorders>
              <w:top w:val="nil"/>
              <w:left w:val="nil"/>
              <w:bottom w:val="nil"/>
              <w:right w:val="single" w:sz="4" w:space="0" w:color="auto"/>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 </w:t>
            </w:r>
          </w:p>
        </w:tc>
      </w:tr>
      <w:tr w:rsidR="008E45C3" w:rsidRPr="00640358" w:rsidTr="007F4A48">
        <w:trPr>
          <w:trHeight w:val="20"/>
        </w:trPr>
        <w:tc>
          <w:tcPr>
            <w:tcW w:w="1540" w:type="dxa"/>
            <w:tcBorders>
              <w:top w:val="single" w:sz="4" w:space="0" w:color="auto"/>
              <w:left w:val="single" w:sz="4" w:space="0" w:color="auto"/>
              <w:bottom w:val="single" w:sz="4" w:space="0" w:color="auto"/>
              <w:right w:val="nil"/>
            </w:tcBorders>
            <w:shd w:val="clear" w:color="000000" w:fill="F2F2F2"/>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Radish</w:t>
            </w:r>
          </w:p>
        </w:tc>
        <w:tc>
          <w:tcPr>
            <w:tcW w:w="527" w:type="dxa"/>
            <w:tcBorders>
              <w:top w:val="single" w:sz="4" w:space="0" w:color="auto"/>
              <w:left w:val="nil"/>
              <w:bottom w:val="single" w:sz="4" w:space="0" w:color="auto"/>
              <w:right w:val="nil"/>
            </w:tcBorders>
            <w:shd w:val="clear" w:color="000000" w:fill="F2F2F2"/>
            <w:noWrap/>
            <w:vAlign w:val="bottom"/>
            <w:hideMark/>
          </w:tcPr>
          <w:p w:rsidR="008E45C3" w:rsidRPr="00640358" w:rsidRDefault="008E45C3" w:rsidP="007F4A48">
            <w:pPr>
              <w:spacing w:line="240" w:lineRule="auto"/>
              <w:jc w:val="center"/>
              <w:rPr>
                <w:rFonts w:ascii="Times New Roman" w:eastAsia="Times New Roman" w:hAnsi="Times New Roman"/>
                <w:b/>
                <w:bCs/>
                <w:color w:val="000000"/>
              </w:rPr>
            </w:pPr>
            <w:r w:rsidRPr="00640358">
              <w:rPr>
                <w:rFonts w:ascii="Times New Roman" w:eastAsia="Times New Roman" w:hAnsi="Times New Roman"/>
                <w:b/>
                <w:bCs/>
                <w:color w:val="000000"/>
              </w:rPr>
              <w:t>1.37</w:t>
            </w:r>
          </w:p>
        </w:tc>
        <w:tc>
          <w:tcPr>
            <w:tcW w:w="441" w:type="dxa"/>
            <w:tcBorders>
              <w:top w:val="single" w:sz="4" w:space="0" w:color="auto"/>
              <w:left w:val="nil"/>
              <w:bottom w:val="single" w:sz="4" w:space="0" w:color="auto"/>
              <w:right w:val="nil"/>
            </w:tcBorders>
            <w:shd w:val="clear" w:color="000000" w:fill="F2F2F2"/>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D</w:t>
            </w:r>
          </w:p>
        </w:tc>
        <w:tc>
          <w:tcPr>
            <w:tcW w:w="666" w:type="dxa"/>
            <w:tcBorders>
              <w:top w:val="single" w:sz="4" w:space="0" w:color="auto"/>
              <w:left w:val="nil"/>
              <w:bottom w:val="single" w:sz="4" w:space="0" w:color="auto"/>
              <w:right w:val="nil"/>
            </w:tcBorders>
            <w:shd w:val="clear" w:color="000000" w:fill="F2F2F2"/>
            <w:noWrap/>
            <w:vAlign w:val="bottom"/>
            <w:hideMark/>
          </w:tcPr>
          <w:p w:rsidR="008E45C3" w:rsidRPr="00640358" w:rsidRDefault="008E45C3" w:rsidP="007F4A48">
            <w:pPr>
              <w:spacing w:line="240" w:lineRule="auto"/>
              <w:jc w:val="center"/>
              <w:rPr>
                <w:rFonts w:ascii="Times New Roman" w:eastAsia="Times New Roman" w:hAnsi="Times New Roman"/>
                <w:b/>
                <w:bCs/>
                <w:color w:val="000000"/>
              </w:rPr>
            </w:pPr>
            <w:r w:rsidRPr="00640358">
              <w:rPr>
                <w:rFonts w:ascii="Times New Roman" w:eastAsia="Times New Roman" w:hAnsi="Times New Roman"/>
                <w:b/>
                <w:bCs/>
                <w:color w:val="000000"/>
              </w:rPr>
              <w:t>38.56</w:t>
            </w:r>
          </w:p>
        </w:tc>
        <w:tc>
          <w:tcPr>
            <w:tcW w:w="426" w:type="dxa"/>
            <w:tcBorders>
              <w:top w:val="single" w:sz="4" w:space="0" w:color="auto"/>
              <w:left w:val="nil"/>
              <w:bottom w:val="single" w:sz="4" w:space="0" w:color="auto"/>
              <w:right w:val="nil"/>
            </w:tcBorders>
            <w:shd w:val="clear" w:color="000000" w:fill="F2F2F2"/>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 </w:t>
            </w:r>
          </w:p>
        </w:tc>
        <w:tc>
          <w:tcPr>
            <w:tcW w:w="659" w:type="dxa"/>
            <w:tcBorders>
              <w:top w:val="single" w:sz="4" w:space="0" w:color="auto"/>
              <w:left w:val="nil"/>
              <w:bottom w:val="single" w:sz="4" w:space="0" w:color="auto"/>
              <w:right w:val="nil"/>
            </w:tcBorders>
            <w:shd w:val="clear" w:color="000000" w:fill="F2F2F2"/>
            <w:noWrap/>
            <w:vAlign w:val="bottom"/>
            <w:hideMark/>
          </w:tcPr>
          <w:p w:rsidR="008E45C3" w:rsidRPr="00640358" w:rsidRDefault="008E45C3" w:rsidP="007F4A48">
            <w:pPr>
              <w:spacing w:line="240" w:lineRule="auto"/>
              <w:jc w:val="center"/>
              <w:rPr>
                <w:rFonts w:ascii="Times New Roman" w:eastAsia="Times New Roman" w:hAnsi="Times New Roman"/>
                <w:b/>
                <w:bCs/>
                <w:color w:val="000000"/>
              </w:rPr>
            </w:pPr>
            <w:r w:rsidRPr="00640358">
              <w:rPr>
                <w:rFonts w:ascii="Times New Roman" w:eastAsia="Times New Roman" w:hAnsi="Times New Roman"/>
                <w:b/>
                <w:bCs/>
                <w:color w:val="000000"/>
              </w:rPr>
              <w:t>28.79</w:t>
            </w:r>
          </w:p>
        </w:tc>
        <w:tc>
          <w:tcPr>
            <w:tcW w:w="421" w:type="dxa"/>
            <w:tcBorders>
              <w:top w:val="single" w:sz="4" w:space="0" w:color="auto"/>
              <w:left w:val="nil"/>
              <w:bottom w:val="single" w:sz="4" w:space="0" w:color="auto"/>
              <w:right w:val="single" w:sz="4" w:space="0" w:color="auto"/>
            </w:tcBorders>
            <w:shd w:val="clear" w:color="000000" w:fill="F2F2F2"/>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A</w:t>
            </w:r>
          </w:p>
        </w:tc>
      </w:tr>
      <w:tr w:rsidR="008E45C3" w:rsidRPr="00640358" w:rsidTr="007F4A48">
        <w:trPr>
          <w:trHeight w:val="20"/>
        </w:trPr>
        <w:tc>
          <w:tcPr>
            <w:tcW w:w="1540" w:type="dxa"/>
            <w:tcBorders>
              <w:top w:val="nil"/>
              <w:left w:val="single" w:sz="4" w:space="0" w:color="auto"/>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2014</w:t>
            </w:r>
          </w:p>
        </w:tc>
        <w:tc>
          <w:tcPr>
            <w:tcW w:w="527"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1.40</w:t>
            </w:r>
          </w:p>
        </w:tc>
        <w:tc>
          <w:tcPr>
            <w:tcW w:w="441"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p>
        </w:tc>
        <w:tc>
          <w:tcPr>
            <w:tcW w:w="666"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35.52</w:t>
            </w:r>
          </w:p>
        </w:tc>
        <w:tc>
          <w:tcPr>
            <w:tcW w:w="426" w:type="dxa"/>
            <w:tcBorders>
              <w:top w:val="nil"/>
              <w:left w:val="nil"/>
              <w:bottom w:val="nil"/>
              <w:right w:val="nil"/>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color w:val="000000"/>
              </w:rPr>
            </w:pPr>
            <w:r>
              <w:rPr>
                <w:rFonts w:ascii="Times New Roman" w:eastAsia="Times New Roman" w:hAnsi="Times New Roman"/>
                <w:color w:val="000000"/>
              </w:rPr>
              <w:t>e</w:t>
            </w:r>
          </w:p>
        </w:tc>
        <w:tc>
          <w:tcPr>
            <w:tcW w:w="659"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25.85</w:t>
            </w:r>
          </w:p>
        </w:tc>
        <w:tc>
          <w:tcPr>
            <w:tcW w:w="421" w:type="dxa"/>
            <w:tcBorders>
              <w:top w:val="nil"/>
              <w:left w:val="nil"/>
              <w:bottom w:val="nil"/>
              <w:right w:val="single" w:sz="4" w:space="0" w:color="auto"/>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 </w:t>
            </w:r>
          </w:p>
        </w:tc>
      </w:tr>
      <w:tr w:rsidR="008E45C3" w:rsidRPr="00640358" w:rsidTr="007F4A48">
        <w:trPr>
          <w:trHeight w:val="20"/>
        </w:trPr>
        <w:tc>
          <w:tcPr>
            <w:tcW w:w="1540" w:type="dxa"/>
            <w:tcBorders>
              <w:top w:val="nil"/>
              <w:left w:val="single" w:sz="4" w:space="0" w:color="auto"/>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2015</w:t>
            </w:r>
          </w:p>
        </w:tc>
        <w:tc>
          <w:tcPr>
            <w:tcW w:w="527"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1.35</w:t>
            </w:r>
          </w:p>
        </w:tc>
        <w:tc>
          <w:tcPr>
            <w:tcW w:w="441"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p>
        </w:tc>
        <w:tc>
          <w:tcPr>
            <w:tcW w:w="666"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41.59</w:t>
            </w:r>
          </w:p>
        </w:tc>
        <w:tc>
          <w:tcPr>
            <w:tcW w:w="426" w:type="dxa"/>
            <w:tcBorders>
              <w:top w:val="nil"/>
              <w:left w:val="nil"/>
              <w:bottom w:val="nil"/>
              <w:right w:val="nil"/>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color w:val="000000"/>
              </w:rPr>
            </w:pPr>
            <w:r>
              <w:rPr>
                <w:rFonts w:ascii="Times New Roman" w:eastAsia="Times New Roman" w:hAnsi="Times New Roman"/>
                <w:color w:val="000000"/>
              </w:rPr>
              <w:t>ab</w:t>
            </w:r>
          </w:p>
        </w:tc>
        <w:tc>
          <w:tcPr>
            <w:tcW w:w="659" w:type="dxa"/>
            <w:tcBorders>
              <w:top w:val="nil"/>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31.74</w:t>
            </w:r>
          </w:p>
        </w:tc>
        <w:tc>
          <w:tcPr>
            <w:tcW w:w="421" w:type="dxa"/>
            <w:tcBorders>
              <w:top w:val="nil"/>
              <w:left w:val="nil"/>
              <w:bottom w:val="nil"/>
              <w:right w:val="single" w:sz="4" w:space="0" w:color="auto"/>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 </w:t>
            </w:r>
          </w:p>
        </w:tc>
      </w:tr>
      <w:tr w:rsidR="008E45C3" w:rsidRPr="00640358" w:rsidTr="007F4A48">
        <w:trPr>
          <w:trHeight w:val="20"/>
        </w:trPr>
        <w:tc>
          <w:tcPr>
            <w:tcW w:w="1540" w:type="dxa"/>
            <w:tcBorders>
              <w:top w:val="single" w:sz="4" w:space="0" w:color="auto"/>
              <w:left w:val="single" w:sz="4" w:space="0" w:color="auto"/>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 </w:t>
            </w:r>
          </w:p>
        </w:tc>
        <w:tc>
          <w:tcPr>
            <w:tcW w:w="527" w:type="dxa"/>
            <w:tcBorders>
              <w:top w:val="single" w:sz="4" w:space="0" w:color="auto"/>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w:t>
            </w:r>
          </w:p>
        </w:tc>
        <w:tc>
          <w:tcPr>
            <w:tcW w:w="441" w:type="dxa"/>
            <w:tcBorders>
              <w:top w:val="single" w:sz="4" w:space="0" w:color="auto"/>
              <w:left w:val="nil"/>
              <w:bottom w:val="nil"/>
              <w:right w:val="nil"/>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color w:val="000000"/>
              </w:rPr>
            </w:pPr>
            <w:r w:rsidRPr="00640358">
              <w:rPr>
                <w:rFonts w:ascii="Times New Roman" w:eastAsia="Times New Roman" w:hAnsi="Times New Roman"/>
                <w:color w:val="000000"/>
              </w:rPr>
              <w:t> </w:t>
            </w:r>
          </w:p>
        </w:tc>
        <w:tc>
          <w:tcPr>
            <w:tcW w:w="666" w:type="dxa"/>
            <w:tcBorders>
              <w:top w:val="single" w:sz="4" w:space="0" w:color="auto"/>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w:t>
            </w:r>
          </w:p>
        </w:tc>
        <w:tc>
          <w:tcPr>
            <w:tcW w:w="426" w:type="dxa"/>
            <w:tcBorders>
              <w:top w:val="single" w:sz="4" w:space="0" w:color="auto"/>
              <w:left w:val="nil"/>
              <w:bottom w:val="nil"/>
              <w:right w:val="nil"/>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color w:val="000000"/>
              </w:rPr>
            </w:pPr>
            <w:r w:rsidRPr="00640358">
              <w:rPr>
                <w:rFonts w:ascii="Times New Roman" w:eastAsia="Times New Roman" w:hAnsi="Times New Roman"/>
                <w:color w:val="000000"/>
              </w:rPr>
              <w:t> </w:t>
            </w:r>
          </w:p>
        </w:tc>
        <w:tc>
          <w:tcPr>
            <w:tcW w:w="659" w:type="dxa"/>
            <w:tcBorders>
              <w:top w:val="single" w:sz="4" w:space="0" w:color="auto"/>
              <w:left w:val="nil"/>
              <w:bottom w:val="nil"/>
              <w:right w:val="nil"/>
            </w:tcBorders>
            <w:shd w:val="clear" w:color="auto" w:fill="auto"/>
            <w:noWrap/>
            <w:vAlign w:val="bottom"/>
            <w:hideMark/>
          </w:tcPr>
          <w:p w:rsidR="008E45C3" w:rsidRPr="00640358" w:rsidRDefault="008E45C3" w:rsidP="007F4A48">
            <w:pPr>
              <w:spacing w:line="240" w:lineRule="auto"/>
              <w:jc w:val="center"/>
              <w:rPr>
                <w:rFonts w:ascii="Times New Roman" w:eastAsia="Times New Roman" w:hAnsi="Times New Roman"/>
                <w:color w:val="000000"/>
              </w:rPr>
            </w:pPr>
            <w:r w:rsidRPr="00640358">
              <w:rPr>
                <w:rFonts w:ascii="Times New Roman" w:eastAsia="Times New Roman" w:hAnsi="Times New Roman"/>
                <w:color w:val="000000"/>
              </w:rPr>
              <w:t>*</w:t>
            </w:r>
          </w:p>
        </w:tc>
        <w:tc>
          <w:tcPr>
            <w:tcW w:w="421" w:type="dxa"/>
            <w:tcBorders>
              <w:top w:val="single" w:sz="4" w:space="0" w:color="auto"/>
              <w:left w:val="nil"/>
              <w:bottom w:val="nil"/>
              <w:right w:val="single" w:sz="4" w:space="0" w:color="auto"/>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b/>
                <w:bCs/>
                <w:color w:val="000000"/>
              </w:rPr>
            </w:pPr>
            <w:r w:rsidRPr="00640358">
              <w:rPr>
                <w:rFonts w:ascii="Times New Roman" w:eastAsia="Times New Roman" w:hAnsi="Times New Roman"/>
                <w:b/>
                <w:bCs/>
                <w:color w:val="000000"/>
              </w:rPr>
              <w:t> </w:t>
            </w:r>
          </w:p>
        </w:tc>
      </w:tr>
      <w:tr w:rsidR="008E45C3" w:rsidRPr="00640358" w:rsidTr="007F4A48">
        <w:trPr>
          <w:trHeight w:val="20"/>
        </w:trPr>
        <w:tc>
          <w:tcPr>
            <w:tcW w:w="4680" w:type="dxa"/>
            <w:gridSpan w:val="7"/>
            <w:tcBorders>
              <w:top w:val="nil"/>
              <w:left w:val="single" w:sz="4" w:space="0" w:color="auto"/>
              <w:bottom w:val="nil"/>
              <w:right w:val="single" w:sz="4" w:space="0" w:color="000000"/>
            </w:tcBorders>
            <w:shd w:val="clear" w:color="auto" w:fill="auto"/>
            <w:noWrap/>
            <w:vAlign w:val="bottom"/>
            <w:hideMark/>
          </w:tcPr>
          <w:p w:rsidR="008E45C3" w:rsidRPr="00640358" w:rsidRDefault="008E45C3" w:rsidP="007F4A48">
            <w:pPr>
              <w:spacing w:line="240" w:lineRule="auto"/>
              <w:rPr>
                <w:rFonts w:ascii="Times New Roman" w:eastAsia="Times New Roman" w:hAnsi="Times New Roman"/>
                <w:color w:val="000000"/>
              </w:rPr>
            </w:pPr>
            <w:r w:rsidRPr="00640358">
              <w:rPr>
                <w:rFonts w:ascii="Times New Roman" w:eastAsia="Times New Roman" w:hAnsi="Times New Roman"/>
                <w:color w:val="000000"/>
              </w:rPr>
              <w:t>* F-test indi</w:t>
            </w:r>
            <w:r>
              <w:rPr>
                <w:rFonts w:ascii="Times New Roman" w:eastAsia="Times New Roman" w:hAnsi="Times New Roman"/>
                <w:color w:val="000000"/>
              </w:rPr>
              <w:t>cates Trt main effect a p &lt; 0.001</w:t>
            </w:r>
          </w:p>
        </w:tc>
      </w:tr>
      <w:tr w:rsidR="008E45C3" w:rsidRPr="00640358" w:rsidTr="007F4A48">
        <w:trPr>
          <w:trHeight w:val="413"/>
        </w:trPr>
        <w:tc>
          <w:tcPr>
            <w:tcW w:w="4680" w:type="dxa"/>
            <w:gridSpan w:val="7"/>
            <w:vMerge w:val="restart"/>
            <w:tcBorders>
              <w:top w:val="nil"/>
              <w:left w:val="single" w:sz="4" w:space="0" w:color="auto"/>
              <w:bottom w:val="single" w:sz="4" w:space="0" w:color="000000"/>
              <w:right w:val="single" w:sz="4" w:space="0" w:color="000000"/>
            </w:tcBorders>
            <w:shd w:val="clear" w:color="auto" w:fill="auto"/>
            <w:hideMark/>
          </w:tcPr>
          <w:p w:rsidR="008E45C3" w:rsidRDefault="008E45C3" w:rsidP="007F4A48">
            <w:pPr>
              <w:spacing w:line="240" w:lineRule="auto"/>
              <w:rPr>
                <w:rFonts w:ascii="Times New Roman" w:hAnsi="Times New Roman"/>
              </w:rPr>
            </w:pPr>
            <w:r w:rsidRPr="00640358">
              <w:rPr>
                <w:rFonts w:ascii="Times New Roman" w:eastAsia="Times New Roman" w:hAnsi="Times New Roman"/>
                <w:color w:val="000000"/>
              </w:rPr>
              <w:t>** F-test indicates Year*Trt interaction effect at p &lt; 0.0</w:t>
            </w:r>
            <w:r>
              <w:rPr>
                <w:rFonts w:ascii="Times New Roman" w:eastAsia="Times New Roman" w:hAnsi="Times New Roman"/>
                <w:color w:val="000000"/>
              </w:rPr>
              <w:t>01</w:t>
            </w:r>
            <w:r>
              <w:rPr>
                <w:rFonts w:ascii="Times New Roman" w:hAnsi="Times New Roman"/>
              </w:rPr>
              <w:t xml:space="preserve"> </w:t>
            </w:r>
          </w:p>
          <w:p w:rsidR="008E45C3" w:rsidRPr="00640358" w:rsidRDefault="008E45C3" w:rsidP="007F4A48">
            <w:pPr>
              <w:spacing w:line="240" w:lineRule="auto"/>
              <w:rPr>
                <w:rFonts w:ascii="Times New Roman" w:eastAsia="Times New Roman" w:hAnsi="Times New Roman"/>
                <w:color w:val="000000"/>
              </w:rPr>
            </w:pPr>
            <w:r w:rsidRPr="00992967">
              <w:rPr>
                <w:rFonts w:ascii="Times New Roman" w:eastAsia="Times New Roman" w:hAnsi="Times New Roman"/>
                <w:b/>
                <w:bCs/>
                <w:color w:val="000000"/>
                <w:vertAlign w:val="superscript"/>
              </w:rPr>
              <w:t>z</w:t>
            </w:r>
            <w:r>
              <w:rPr>
                <w:rFonts w:ascii="Times New Roman" w:hAnsi="Times New Roman"/>
              </w:rPr>
              <w:t>Upper-case letters represent means separation between values within the column for main effects. Lower case letters indicate mean separation between values within a column for the interaction effects.</w:t>
            </w:r>
            <w:r w:rsidRPr="00C56F56">
              <w:rPr>
                <w:rFonts w:ascii="Times New Roman" w:hAnsi="Times New Roman"/>
              </w:rPr>
              <w:t xml:space="preserve"> </w:t>
            </w:r>
            <w:r>
              <w:rPr>
                <w:rFonts w:ascii="Times New Roman" w:hAnsi="Times New Roman"/>
              </w:rPr>
              <w:t xml:space="preserve">Mean separation was performed by LSD at p &lt; 0.05. N = 3.  </w:t>
            </w:r>
          </w:p>
        </w:tc>
      </w:tr>
      <w:tr w:rsidR="008E45C3" w:rsidRPr="00640358" w:rsidTr="007F4A48">
        <w:trPr>
          <w:trHeight w:val="506"/>
        </w:trPr>
        <w:tc>
          <w:tcPr>
            <w:tcW w:w="4680" w:type="dxa"/>
            <w:gridSpan w:val="7"/>
            <w:vMerge/>
            <w:tcBorders>
              <w:top w:val="nil"/>
              <w:left w:val="single" w:sz="4" w:space="0" w:color="auto"/>
              <w:bottom w:val="single" w:sz="4" w:space="0" w:color="000000"/>
              <w:right w:val="single" w:sz="4" w:space="0" w:color="000000"/>
            </w:tcBorders>
            <w:vAlign w:val="center"/>
            <w:hideMark/>
          </w:tcPr>
          <w:p w:rsidR="008E45C3" w:rsidRPr="00640358" w:rsidRDefault="008E45C3" w:rsidP="007F4A48">
            <w:pPr>
              <w:rPr>
                <w:rFonts w:ascii="Times New Roman" w:eastAsia="Times New Roman" w:hAnsi="Times New Roman"/>
                <w:color w:val="000000"/>
              </w:rPr>
            </w:pPr>
          </w:p>
        </w:tc>
      </w:tr>
    </w:tbl>
    <w:p w:rsidR="008E45C3" w:rsidRDefault="008E45C3" w:rsidP="008E45C3">
      <w:pPr>
        <w:rPr>
          <w:rFonts w:ascii="Times New Roman" w:eastAsiaTheme="majorEastAsia" w:hAnsi="Times New Roman" w:cstheme="majorBidi"/>
          <w:b/>
          <w:caps/>
          <w:color w:val="000000" w:themeColor="text1"/>
          <w:sz w:val="24"/>
          <w:szCs w:val="36"/>
        </w:rPr>
      </w:pPr>
      <w:r>
        <w:br w:type="page"/>
      </w:r>
    </w:p>
    <w:p w:rsidR="008E45C3" w:rsidRDefault="008E45C3" w:rsidP="008E45C3">
      <w:pPr>
        <w:pStyle w:val="Caption"/>
        <w:keepNext/>
      </w:pPr>
      <w:bookmarkStart w:id="23" w:name="_Ref465603386"/>
      <w:bookmarkStart w:id="24" w:name="_Toc465640554"/>
      <w:r>
        <w:lastRenderedPageBreak/>
        <w:t xml:space="preserve">Figure </w:t>
      </w:r>
      <w:r>
        <w:fldChar w:fldCharType="begin"/>
      </w:r>
      <w:r>
        <w:instrText xml:space="preserve"> SEQ Figure \* ARABIC </w:instrText>
      </w:r>
      <w:r>
        <w:fldChar w:fldCharType="separate"/>
      </w:r>
      <w:r>
        <w:rPr>
          <w:noProof/>
        </w:rPr>
        <w:t>6</w:t>
      </w:r>
      <w:r>
        <w:rPr>
          <w:noProof/>
        </w:rPr>
        <w:fldChar w:fldCharType="end"/>
      </w:r>
      <w:bookmarkEnd w:id="23"/>
      <w:r>
        <w:t>. Cover crop aerial tissue N concentration (%) mean values from years 2014 and 2015 pooled. Aerial biomass was sampled on 28 Mar. 2014 and 29 Mar. 2015, 132 and 128 days after planting, respectively, in a high tunnel in Fayetteville, AR. Mean separation was performed by LSD at P &lt; 0.05. N = 3 experimental units. Letters represent differences between treatment means.</w:t>
      </w:r>
      <w:bookmarkEnd w:id="24"/>
    </w:p>
    <w:p w:rsidR="008E45C3" w:rsidRDefault="008E45C3" w:rsidP="008E45C3">
      <w:pPr>
        <w:pStyle w:val="MediumGrid1-Accent21"/>
        <w:ind w:left="0"/>
      </w:pPr>
      <w:r>
        <w:rPr>
          <w:noProof/>
        </w:rPr>
        <w:drawing>
          <wp:inline distT="0" distB="0" distL="0" distR="0" wp14:anchorId="0364EA3D" wp14:editId="517AE506">
            <wp:extent cx="5721350" cy="3168713"/>
            <wp:effectExtent l="0" t="0" r="1270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E45C3" w:rsidRDefault="008E45C3" w:rsidP="008E45C3">
      <w:pPr>
        <w:rPr>
          <w:rFonts w:ascii="Times New Roman" w:eastAsiaTheme="majorEastAsia" w:hAnsi="Times New Roman" w:cstheme="majorBidi"/>
          <w:b/>
          <w:caps/>
          <w:color w:val="000000" w:themeColor="text1"/>
          <w:sz w:val="24"/>
          <w:szCs w:val="36"/>
        </w:rPr>
      </w:pPr>
      <w:r>
        <w:br w:type="page"/>
      </w:r>
    </w:p>
    <w:p w:rsidR="008E45C3" w:rsidRDefault="008E45C3" w:rsidP="008E45C3">
      <w:pPr>
        <w:pStyle w:val="Caption"/>
        <w:keepNext/>
      </w:pPr>
      <w:bookmarkStart w:id="25" w:name="_Ref465603434"/>
      <w:bookmarkStart w:id="26" w:name="_Toc465640555"/>
      <w:r>
        <w:lastRenderedPageBreak/>
        <w:t xml:space="preserve">Figure </w:t>
      </w:r>
      <w:r>
        <w:fldChar w:fldCharType="begin"/>
      </w:r>
      <w:r>
        <w:instrText xml:space="preserve"> SEQ Figure \* ARABIC </w:instrText>
      </w:r>
      <w:r>
        <w:fldChar w:fldCharType="separate"/>
      </w:r>
      <w:r>
        <w:rPr>
          <w:noProof/>
        </w:rPr>
        <w:t>7</w:t>
      </w:r>
      <w:r>
        <w:rPr>
          <w:noProof/>
        </w:rPr>
        <w:fldChar w:fldCharType="end"/>
      </w:r>
      <w:bookmarkEnd w:id="25"/>
      <w:r>
        <w:t>. Aerial tissue C concentration sampled from treatments on 28 Mar. 2014 and 29 Mar. 2015, 132 and 128 days after planting, respectively, in a high tunnel in Fayetteville, AR. Mean separation was performed by LSD at P &lt; 0.05. N = 3 experimental units. Letters represent differences between means for year x treatment combinations.</w:t>
      </w:r>
      <w:bookmarkEnd w:id="26"/>
    </w:p>
    <w:p w:rsidR="008E45C3" w:rsidRDefault="008E45C3" w:rsidP="008E45C3">
      <w:pPr>
        <w:pStyle w:val="MediumGrid1-Accent21"/>
        <w:ind w:left="0"/>
      </w:pPr>
      <w:r>
        <w:rPr>
          <w:noProof/>
        </w:rPr>
        <w:drawing>
          <wp:inline distT="0" distB="0" distL="0" distR="0" wp14:anchorId="72B1003A" wp14:editId="0B62A43D">
            <wp:extent cx="5758004" cy="3548959"/>
            <wp:effectExtent l="0" t="0" r="14605"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E45C3" w:rsidRDefault="008E45C3" w:rsidP="008E45C3">
      <w:pPr>
        <w:rPr>
          <w:rFonts w:ascii="Times New Roman" w:eastAsiaTheme="majorEastAsia" w:hAnsi="Times New Roman" w:cstheme="majorBidi"/>
          <w:b/>
          <w:caps/>
          <w:color w:val="000000" w:themeColor="text1"/>
          <w:sz w:val="24"/>
          <w:szCs w:val="36"/>
        </w:rPr>
      </w:pPr>
      <w:r>
        <w:br w:type="page"/>
      </w:r>
    </w:p>
    <w:p w:rsidR="008E45C3" w:rsidRDefault="008E45C3" w:rsidP="008E45C3">
      <w:pPr>
        <w:pStyle w:val="Caption"/>
        <w:keepNext/>
      </w:pPr>
      <w:bookmarkStart w:id="27" w:name="_Ref465603494"/>
      <w:bookmarkStart w:id="28" w:name="_Toc465640556"/>
      <w:r>
        <w:lastRenderedPageBreak/>
        <w:t xml:space="preserve">Figure </w:t>
      </w:r>
      <w:r>
        <w:fldChar w:fldCharType="begin"/>
      </w:r>
      <w:r>
        <w:instrText xml:space="preserve"> SEQ Figure \* ARABIC </w:instrText>
      </w:r>
      <w:r>
        <w:fldChar w:fldCharType="separate"/>
      </w:r>
      <w:r>
        <w:rPr>
          <w:noProof/>
        </w:rPr>
        <w:t>8</w:t>
      </w:r>
      <w:r>
        <w:rPr>
          <w:noProof/>
        </w:rPr>
        <w:fldChar w:fldCharType="end"/>
      </w:r>
      <w:bookmarkEnd w:id="27"/>
      <w:r>
        <w:t>. Cover crop biomass N (g/m</w:t>
      </w:r>
      <w:r w:rsidRPr="00C56F56">
        <w:rPr>
          <w:vertAlign w:val="superscript"/>
        </w:rPr>
        <w:t>2</w:t>
      </w:r>
      <w:r>
        <w:t>) calculated from aerial biomass sampled on 28 Mar. 2014 and 29 Mar. 2015, 132 and 128 days after planting, respectively, in a high tunnel in Fayetteville, AR. Mean separation was performed by LSD at P &lt; 0.05. N = 3 experimental units. Letters represent differences between means for year x treatment combinations.</w:t>
      </w:r>
      <w:bookmarkEnd w:id="28"/>
    </w:p>
    <w:p w:rsidR="008E45C3" w:rsidRDefault="008E45C3" w:rsidP="008E45C3">
      <w:pPr>
        <w:pStyle w:val="MediumGrid1-Accent21"/>
        <w:ind w:left="0"/>
      </w:pPr>
      <w:r>
        <w:rPr>
          <w:noProof/>
        </w:rPr>
        <w:drawing>
          <wp:inline distT="0" distB="0" distL="0" distR="0" wp14:anchorId="624372AD" wp14:editId="509351BB">
            <wp:extent cx="5839485" cy="3983525"/>
            <wp:effectExtent l="0" t="0" r="8890" b="171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tab/>
      </w:r>
    </w:p>
    <w:p w:rsidR="008E45C3" w:rsidRPr="0009570B" w:rsidRDefault="008E45C3" w:rsidP="008E45C3">
      <w:pPr>
        <w:rPr>
          <w:rFonts w:ascii="Times New Roman" w:eastAsiaTheme="majorEastAsia" w:hAnsi="Times New Roman" w:cstheme="majorBidi"/>
          <w:b/>
          <w:caps/>
          <w:color w:val="000000" w:themeColor="text1"/>
          <w:sz w:val="24"/>
          <w:szCs w:val="36"/>
        </w:rPr>
      </w:pPr>
    </w:p>
    <w:p w:rsidR="008E45C3" w:rsidRPr="00A51401" w:rsidRDefault="008E45C3" w:rsidP="008E45C3">
      <w:pPr>
        <w:rPr>
          <w:rFonts w:ascii="Times New Roman" w:eastAsiaTheme="majorEastAsia" w:hAnsi="Times New Roman" w:cs="Times New Roman"/>
          <w:b/>
          <w:caps/>
          <w:color w:val="000000" w:themeColor="text1"/>
          <w:sz w:val="24"/>
          <w:szCs w:val="36"/>
        </w:rPr>
      </w:pPr>
      <w:r w:rsidRPr="0009570B">
        <w:br w:type="page"/>
      </w:r>
      <w:bookmarkStart w:id="29" w:name="_Ref465605211"/>
      <w:bookmarkStart w:id="30" w:name="_Toc465640557"/>
      <w:r w:rsidRPr="00A51401">
        <w:rPr>
          <w:rFonts w:ascii="Times New Roman" w:hAnsi="Times New Roman" w:cs="Times New Roman"/>
        </w:rPr>
        <w:lastRenderedPageBreak/>
        <w:t xml:space="preserve">Figure </w:t>
      </w:r>
      <w:r w:rsidRPr="00A51401">
        <w:rPr>
          <w:rFonts w:ascii="Times New Roman" w:hAnsi="Times New Roman" w:cs="Times New Roman"/>
        </w:rPr>
        <w:fldChar w:fldCharType="begin"/>
      </w:r>
      <w:r w:rsidRPr="00A51401">
        <w:rPr>
          <w:rFonts w:ascii="Times New Roman" w:hAnsi="Times New Roman" w:cs="Times New Roman"/>
        </w:rPr>
        <w:instrText xml:space="preserve"> SEQ Figure \* ARABIC </w:instrText>
      </w:r>
      <w:r w:rsidRPr="00A51401">
        <w:rPr>
          <w:rFonts w:ascii="Times New Roman" w:hAnsi="Times New Roman" w:cs="Times New Roman"/>
        </w:rPr>
        <w:fldChar w:fldCharType="separate"/>
      </w:r>
      <w:r w:rsidRPr="00A51401">
        <w:rPr>
          <w:rFonts w:ascii="Times New Roman" w:hAnsi="Times New Roman" w:cs="Times New Roman"/>
          <w:noProof/>
        </w:rPr>
        <w:t>9</w:t>
      </w:r>
      <w:r w:rsidRPr="00A51401">
        <w:rPr>
          <w:rFonts w:ascii="Times New Roman" w:hAnsi="Times New Roman" w:cs="Times New Roman"/>
        </w:rPr>
        <w:fldChar w:fldCharType="end"/>
      </w:r>
      <w:bookmarkEnd w:id="29"/>
      <w:r w:rsidRPr="00A51401">
        <w:rPr>
          <w:rFonts w:ascii="Times New Roman" w:hAnsi="Times New Roman" w:cs="Times New Roman"/>
        </w:rPr>
        <w:t>. Relationship between cover crop aerial tissue N and cover crop height, as measured from Austrian winter peas, bell beans, ‘Kodiak’ mustard, and ‘Daikon’ radish grown in a high tunnel in Fayetteville, AR and sampled on 28 Mar. 2014 and 29 Mar. 2015, 132 and 128 days after planting, respectively.</w:t>
      </w:r>
      <w:bookmarkEnd w:id="30"/>
    </w:p>
    <w:p w:rsidR="008E45C3" w:rsidRDefault="008E45C3" w:rsidP="008E45C3">
      <w:pPr>
        <w:rPr>
          <w:rFonts w:ascii="Times New Roman" w:hAnsi="Times New Roman"/>
        </w:rPr>
      </w:pPr>
      <w:r>
        <w:rPr>
          <w:noProof/>
        </w:rPr>
        <w:drawing>
          <wp:inline distT="0" distB="0" distL="0" distR="0" wp14:anchorId="3EB34894" wp14:editId="7EF420D7">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E45C3" w:rsidRDefault="008E45C3" w:rsidP="008E45C3">
      <w:pPr>
        <w:rPr>
          <w:rFonts w:ascii="Times New Roman" w:eastAsiaTheme="majorEastAsia" w:hAnsi="Times New Roman" w:cstheme="majorBidi"/>
          <w:b/>
          <w:caps/>
          <w:color w:val="000000" w:themeColor="text1"/>
          <w:sz w:val="24"/>
          <w:szCs w:val="36"/>
        </w:rPr>
      </w:pPr>
      <w:r>
        <w:br w:type="page"/>
      </w:r>
    </w:p>
    <w:p w:rsidR="008E45C3" w:rsidRDefault="008E45C3" w:rsidP="008E45C3">
      <w:pPr>
        <w:pStyle w:val="Caption"/>
        <w:keepNext/>
      </w:pPr>
      <w:bookmarkStart w:id="31" w:name="_Ref465605264"/>
      <w:bookmarkStart w:id="32" w:name="_Toc465640558"/>
      <w:r>
        <w:lastRenderedPageBreak/>
        <w:t xml:space="preserve">Figure </w:t>
      </w:r>
      <w:r>
        <w:fldChar w:fldCharType="begin"/>
      </w:r>
      <w:r>
        <w:instrText xml:space="preserve"> SEQ Figure \* ARABIC </w:instrText>
      </w:r>
      <w:r>
        <w:fldChar w:fldCharType="separate"/>
      </w:r>
      <w:r>
        <w:rPr>
          <w:noProof/>
        </w:rPr>
        <w:t>10</w:t>
      </w:r>
      <w:r>
        <w:rPr>
          <w:noProof/>
        </w:rPr>
        <w:fldChar w:fldCharType="end"/>
      </w:r>
      <w:bookmarkEnd w:id="31"/>
      <w:r>
        <w:t>. Relationship between cover crop above-ground tissue C and cover crop biomass, as measured from Austrian winter peas, bell beans, ‘Kodiak’ mustard, and ‘Daikon’ radish grown in a high tunnel in Fayetteville, AR and sampled on 28 Mar. 2014 and 29 Mar. 2015, 132 and 128 days after planting, respectively.</w:t>
      </w:r>
      <w:bookmarkEnd w:id="32"/>
    </w:p>
    <w:p w:rsidR="008E45C3" w:rsidRDefault="008E45C3" w:rsidP="008E45C3">
      <w:pPr>
        <w:rPr>
          <w:rFonts w:ascii="Times New Roman" w:hAnsi="Times New Roman"/>
        </w:rPr>
      </w:pPr>
      <w:r>
        <w:rPr>
          <w:noProof/>
        </w:rPr>
        <w:drawing>
          <wp:inline distT="0" distB="0" distL="0" distR="0" wp14:anchorId="769CD874" wp14:editId="7A28E02F">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E45C3" w:rsidRDefault="008E45C3" w:rsidP="008E45C3">
      <w:pPr>
        <w:rPr>
          <w:rFonts w:ascii="Times New Roman" w:hAnsi="Times New Roman"/>
        </w:rPr>
      </w:pPr>
      <w:r>
        <w:rPr>
          <w:rFonts w:ascii="Times New Roman" w:hAnsi="Times New Roman"/>
        </w:rPr>
        <w:br w:type="page"/>
      </w:r>
    </w:p>
    <w:p w:rsidR="008E45C3" w:rsidRDefault="008E45C3" w:rsidP="008E45C3">
      <w:pPr>
        <w:pStyle w:val="Caption"/>
        <w:keepNext/>
      </w:pPr>
      <w:bookmarkStart w:id="33" w:name="_Ref465627675"/>
      <w:bookmarkStart w:id="34" w:name="_Toc465640651"/>
      <w:r>
        <w:lastRenderedPageBreak/>
        <w:t xml:space="preserve">Table </w:t>
      </w:r>
      <w:r>
        <w:fldChar w:fldCharType="begin"/>
      </w:r>
      <w:r>
        <w:instrText xml:space="preserve"> SEQ Table \* ARABIC </w:instrText>
      </w:r>
      <w:r>
        <w:fldChar w:fldCharType="separate"/>
      </w:r>
      <w:r>
        <w:rPr>
          <w:noProof/>
        </w:rPr>
        <w:t>4</w:t>
      </w:r>
      <w:r>
        <w:rPr>
          <w:noProof/>
        </w:rPr>
        <w:fldChar w:fldCharType="end"/>
      </w:r>
      <w:bookmarkEnd w:id="33"/>
      <w:r>
        <w:t>. ANOVA table of interaction between cover crop treatment (CC) and year on soil organic matter (SOM) and bulk density (BD), measured on 25 April 2014 and 28 April 2015. Significant main effects where P &lt; 0.05 are bolded and shaded.</w:t>
      </w:r>
      <w:bookmarkEnd w:id="34"/>
    </w:p>
    <w:p w:rsidR="008E45C3" w:rsidRPr="005D5AEB" w:rsidRDefault="008E45C3" w:rsidP="008E45C3"/>
    <w:p w:rsidR="008E45C3" w:rsidRDefault="008E45C3" w:rsidP="008E45C3">
      <w:pPr>
        <w:pStyle w:val="MediumGrid1-Accent21"/>
        <w:spacing w:line="480" w:lineRule="auto"/>
        <w:ind w:left="0"/>
      </w:pPr>
      <w:r w:rsidRPr="005D5AEB">
        <w:rPr>
          <w:noProof/>
        </w:rPr>
        <w:drawing>
          <wp:inline distT="0" distB="0" distL="0" distR="0" wp14:anchorId="0D2D69A2" wp14:editId="223A1763">
            <wp:extent cx="3004185" cy="1175385"/>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4185" cy="1175385"/>
                    </a:xfrm>
                    <a:prstGeom prst="rect">
                      <a:avLst/>
                    </a:prstGeom>
                    <a:noFill/>
                    <a:ln>
                      <a:noFill/>
                    </a:ln>
                  </pic:spPr>
                </pic:pic>
              </a:graphicData>
            </a:graphic>
          </wp:inline>
        </w:drawing>
      </w:r>
    </w:p>
    <w:p w:rsidR="008E45C3" w:rsidRDefault="008E45C3" w:rsidP="008E45C3">
      <w:pPr>
        <w:rPr>
          <w:rFonts w:ascii="Times New Roman" w:hAnsi="Times New Roman"/>
          <w:sz w:val="24"/>
        </w:rPr>
      </w:pPr>
      <w:r>
        <w:br w:type="page"/>
      </w:r>
    </w:p>
    <w:p w:rsidR="008E45C3" w:rsidRDefault="008E45C3" w:rsidP="008E45C3">
      <w:pPr>
        <w:pStyle w:val="Caption"/>
        <w:keepNext/>
      </w:pPr>
      <w:bookmarkStart w:id="35" w:name="_Ref465627843"/>
      <w:bookmarkStart w:id="36" w:name="_Toc465640652"/>
      <w:r>
        <w:lastRenderedPageBreak/>
        <w:t xml:space="preserve">Table </w:t>
      </w:r>
      <w:r>
        <w:fldChar w:fldCharType="begin"/>
      </w:r>
      <w:r>
        <w:instrText xml:space="preserve"> SEQ Table \* ARABIC </w:instrText>
      </w:r>
      <w:r>
        <w:fldChar w:fldCharType="separate"/>
      </w:r>
      <w:r>
        <w:rPr>
          <w:noProof/>
        </w:rPr>
        <w:t>5</w:t>
      </w:r>
      <w:r>
        <w:rPr>
          <w:noProof/>
        </w:rPr>
        <w:fldChar w:fldCharType="end"/>
      </w:r>
      <w:bookmarkEnd w:id="35"/>
      <w:r>
        <w:t xml:space="preserve">. ANOVA for interaction between cover crop treatment (CC) and date on soil C% soil N% and soil C/N ratio, from soil samples collected on </w:t>
      </w:r>
      <w:r w:rsidRPr="00C56F56">
        <w:t>28 Mar</w:t>
      </w:r>
      <w:r>
        <w:t>.</w:t>
      </w:r>
      <w:r w:rsidRPr="00C56F56">
        <w:t xml:space="preserve"> 2014, 25 April 2014, 28 Mar</w:t>
      </w:r>
      <w:r>
        <w:t>. 2015, and 28 April 2015. Highest-order interactions or significant main effects where P &lt; 0.05 are bolded and shaded.</w:t>
      </w:r>
      <w:bookmarkEnd w:id="36"/>
    </w:p>
    <w:p w:rsidR="008E45C3" w:rsidRPr="005D5AEB" w:rsidRDefault="008E45C3" w:rsidP="008E45C3"/>
    <w:p w:rsidR="008E45C3" w:rsidRDefault="008E45C3" w:rsidP="008E45C3">
      <w:pPr>
        <w:rPr>
          <w:rFonts w:ascii="Times New Roman" w:hAnsi="Times New Roman"/>
        </w:rPr>
      </w:pPr>
      <w:r w:rsidRPr="005D5AEB">
        <w:rPr>
          <w:noProof/>
        </w:rPr>
        <w:drawing>
          <wp:inline distT="0" distB="0" distL="0" distR="0" wp14:anchorId="299FF8E6" wp14:editId="791C516A">
            <wp:extent cx="3304540" cy="11861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4540" cy="1186180"/>
                    </a:xfrm>
                    <a:prstGeom prst="rect">
                      <a:avLst/>
                    </a:prstGeom>
                    <a:noFill/>
                    <a:ln>
                      <a:noFill/>
                    </a:ln>
                  </pic:spPr>
                </pic:pic>
              </a:graphicData>
            </a:graphic>
          </wp:inline>
        </w:drawing>
      </w:r>
    </w:p>
    <w:p w:rsidR="008E45C3" w:rsidRDefault="008E45C3" w:rsidP="008E45C3">
      <w:pPr>
        <w:rPr>
          <w:rFonts w:ascii="Times New Roman" w:hAnsi="Times New Roman"/>
          <w:sz w:val="24"/>
        </w:rPr>
      </w:pPr>
      <w:r>
        <w:br w:type="page"/>
      </w:r>
    </w:p>
    <w:p w:rsidR="008E45C3" w:rsidRDefault="008E45C3" w:rsidP="008E45C3">
      <w:pPr>
        <w:pStyle w:val="Caption"/>
        <w:keepNext/>
        <w:sectPr w:rsidR="008E45C3" w:rsidSect="008E45C3">
          <w:headerReference w:type="default" r:id="rId20"/>
          <w:footerReference w:type="default" r:id="rId21"/>
          <w:pgSz w:w="12240" w:h="15840"/>
          <w:pgMar w:top="1440" w:right="1440" w:bottom="1440" w:left="1440" w:header="720" w:footer="720" w:gutter="0"/>
          <w:cols w:space="720"/>
          <w:docGrid w:linePitch="326"/>
        </w:sectPr>
      </w:pPr>
      <w:bookmarkStart w:id="37" w:name="_Ref465627989"/>
    </w:p>
    <w:p w:rsidR="008E45C3" w:rsidRDefault="008E45C3" w:rsidP="008E45C3">
      <w:pPr>
        <w:pStyle w:val="Caption"/>
        <w:keepNext/>
      </w:pPr>
      <w:bookmarkStart w:id="38" w:name="_Ref465676393"/>
      <w:bookmarkStart w:id="39" w:name="_Toc465640559"/>
      <w:bookmarkStart w:id="40" w:name="_Ref465676383"/>
      <w:r>
        <w:lastRenderedPageBreak/>
        <w:t xml:space="preserve">Figure </w:t>
      </w:r>
      <w:r>
        <w:fldChar w:fldCharType="begin"/>
      </w:r>
      <w:r>
        <w:instrText xml:space="preserve"> SEQ Figure \* ARABIC </w:instrText>
      </w:r>
      <w:r>
        <w:fldChar w:fldCharType="separate"/>
      </w:r>
      <w:r>
        <w:rPr>
          <w:noProof/>
        </w:rPr>
        <w:t>11</w:t>
      </w:r>
      <w:r>
        <w:rPr>
          <w:noProof/>
        </w:rPr>
        <w:fldChar w:fldCharType="end"/>
      </w:r>
      <w:bookmarkEnd w:id="37"/>
      <w:bookmarkEnd w:id="38"/>
      <w:r>
        <w:t>. Soil C/N ratio measured from 15 cm soil cores collected on sampling dates of 28 Mar. 2014, 26 April 2014, 28 Mar. 2015, and 28 April 2015 in a high tunnel in Fayetteville, AR. March sampling dates were prior to cover crop incorporation and April dates were 30 days after incorporation. Mean separation was performed by LSD at P &lt; 0.05. N = 3 experimental units.</w:t>
      </w:r>
      <w:bookmarkEnd w:id="39"/>
      <w:bookmarkEnd w:id="40"/>
    </w:p>
    <w:p w:rsidR="008E45C3" w:rsidRDefault="008E45C3" w:rsidP="008E45C3">
      <w:pPr>
        <w:pStyle w:val="MediumGrid1-Accent21"/>
        <w:spacing w:line="480" w:lineRule="auto"/>
        <w:ind w:left="0"/>
        <w:sectPr w:rsidR="008E45C3" w:rsidSect="004E3108">
          <w:pgSz w:w="15840" w:h="12240" w:orient="landscape"/>
          <w:pgMar w:top="1440" w:right="1440" w:bottom="1440" w:left="1440" w:header="720" w:footer="720" w:gutter="0"/>
          <w:cols w:space="720"/>
          <w:docGrid w:linePitch="326"/>
        </w:sectPr>
      </w:pPr>
      <w:r>
        <w:rPr>
          <w:noProof/>
        </w:rPr>
        <w:drawing>
          <wp:inline distT="0" distB="0" distL="0" distR="0" wp14:anchorId="4E6C42BF" wp14:editId="2A498150">
            <wp:extent cx="8139065" cy="5160010"/>
            <wp:effectExtent l="0" t="0" r="14605" b="25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E45C3" w:rsidRPr="004E3108" w:rsidRDefault="008E45C3" w:rsidP="008E45C3">
      <w:pPr>
        <w:pStyle w:val="Caption"/>
        <w:rPr>
          <w:rFonts w:eastAsiaTheme="majorEastAsia" w:cstheme="majorBidi"/>
          <w:b/>
          <w:caps/>
          <w:szCs w:val="36"/>
        </w:rPr>
      </w:pPr>
      <w:bookmarkStart w:id="41" w:name="_Ref465628065"/>
      <w:bookmarkStart w:id="42" w:name="_Toc465640560"/>
      <w:r>
        <w:lastRenderedPageBreak/>
        <w:t xml:space="preserve">Figure </w:t>
      </w:r>
      <w:r>
        <w:fldChar w:fldCharType="begin"/>
      </w:r>
      <w:r>
        <w:instrText xml:space="preserve"> SEQ Figure \* ARABIC </w:instrText>
      </w:r>
      <w:r>
        <w:fldChar w:fldCharType="separate"/>
      </w:r>
      <w:r>
        <w:rPr>
          <w:noProof/>
        </w:rPr>
        <w:t>12</w:t>
      </w:r>
      <w:r>
        <w:rPr>
          <w:noProof/>
        </w:rPr>
        <w:fldChar w:fldCharType="end"/>
      </w:r>
      <w:bookmarkEnd w:id="41"/>
      <w:r>
        <w:t>. Relationship between cover crop biomass N and soil C/N ratio, as measured from Austrian winter peas, bell beans, ‘Kodiak’ mustard, and ‘Daikon’ radish grown in a high tunnel in Fayetteville, AR. Soil C/N ratio was measured from 15 cm soil cores collected on sampling dates of 28 Mar. 2014, 26 April 2014, 28 Mar. 2015, and 28 April.</w:t>
      </w:r>
      <w:bookmarkEnd w:id="42"/>
      <w:r>
        <w:t xml:space="preserve"> </w:t>
      </w:r>
    </w:p>
    <w:p w:rsidR="008E45C3" w:rsidRDefault="008E45C3" w:rsidP="008E45C3">
      <w:pPr>
        <w:pStyle w:val="MediumGrid1-Accent21"/>
        <w:spacing w:line="480" w:lineRule="auto"/>
        <w:ind w:left="0"/>
      </w:pPr>
      <w:r>
        <w:rPr>
          <w:noProof/>
        </w:rPr>
        <w:drawing>
          <wp:inline distT="0" distB="0" distL="0" distR="0" wp14:anchorId="60F2B16D" wp14:editId="598D9ADB">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E45C3" w:rsidRDefault="008E45C3" w:rsidP="008E45C3">
      <w:pPr>
        <w:rPr>
          <w:rFonts w:ascii="Times New Roman" w:eastAsiaTheme="majorEastAsia" w:hAnsi="Times New Roman" w:cstheme="majorBidi"/>
          <w:b/>
          <w:caps/>
          <w:color w:val="000000" w:themeColor="text1"/>
          <w:sz w:val="24"/>
          <w:szCs w:val="36"/>
        </w:rPr>
      </w:pPr>
      <w:r>
        <w:br w:type="page"/>
      </w:r>
    </w:p>
    <w:p w:rsidR="008E45C3" w:rsidRDefault="008E45C3" w:rsidP="008E45C3">
      <w:pPr>
        <w:pStyle w:val="Caption"/>
        <w:keepNext/>
      </w:pPr>
      <w:bookmarkStart w:id="43" w:name="_Ref465628239"/>
      <w:bookmarkStart w:id="44" w:name="_Toc465640653"/>
      <w:r>
        <w:lastRenderedPageBreak/>
        <w:t xml:space="preserve">Table </w:t>
      </w:r>
      <w:r>
        <w:fldChar w:fldCharType="begin"/>
      </w:r>
      <w:r>
        <w:instrText xml:space="preserve"> SEQ Table \* ARABIC </w:instrText>
      </w:r>
      <w:r>
        <w:fldChar w:fldCharType="separate"/>
      </w:r>
      <w:r>
        <w:rPr>
          <w:noProof/>
        </w:rPr>
        <w:t>6</w:t>
      </w:r>
      <w:r>
        <w:rPr>
          <w:noProof/>
        </w:rPr>
        <w:fldChar w:fldCharType="end"/>
      </w:r>
      <w:bookmarkEnd w:id="43"/>
      <w:r>
        <w:t>. Correlation between cover crop variables and soil variables, as measured from Austrian winter peas, bell beans, ‘Kodiak’ mustard, and ‘Daikon’ radish grown in a high tunnel in Fayetteville, AR during the winter seasons of 2013-2014 and 2014-2015. For each relationship the Pearson Correlation Coefficients (PCC), p-value, and number of observations (n) are included in the table. Bolded cells are considered significant with a p-value under 0.10.</w:t>
      </w:r>
      <w:bookmarkEnd w:id="44"/>
    </w:p>
    <w:p w:rsidR="008E45C3" w:rsidRPr="004E3108" w:rsidRDefault="008E45C3" w:rsidP="008E45C3"/>
    <w:p w:rsidR="008E45C3" w:rsidRDefault="008E45C3" w:rsidP="008E45C3">
      <w:pPr>
        <w:rPr>
          <w:rFonts w:ascii="Times New Roman" w:eastAsiaTheme="majorEastAsia" w:hAnsi="Times New Roman" w:cstheme="majorBidi"/>
          <w:b/>
          <w:caps/>
          <w:color w:val="000000" w:themeColor="text1"/>
          <w:sz w:val="24"/>
          <w:szCs w:val="36"/>
        </w:rPr>
      </w:pPr>
      <w:r w:rsidRPr="004E3108">
        <w:rPr>
          <w:noProof/>
        </w:rPr>
        <w:drawing>
          <wp:inline distT="0" distB="0" distL="0" distR="0" wp14:anchorId="287AB1DB" wp14:editId="0605E06D">
            <wp:extent cx="3168650" cy="3684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8650" cy="3684905"/>
                    </a:xfrm>
                    <a:prstGeom prst="rect">
                      <a:avLst/>
                    </a:prstGeom>
                    <a:noFill/>
                    <a:ln>
                      <a:noFill/>
                    </a:ln>
                  </pic:spPr>
                </pic:pic>
              </a:graphicData>
            </a:graphic>
          </wp:inline>
        </w:drawing>
      </w:r>
      <w:r>
        <w:br w:type="page"/>
      </w:r>
    </w:p>
    <w:p w:rsidR="008E45C3" w:rsidRDefault="008E45C3" w:rsidP="008E45C3">
      <w:pPr>
        <w:pStyle w:val="Caption"/>
        <w:keepNext/>
        <w:sectPr w:rsidR="008E45C3" w:rsidSect="004E3108">
          <w:pgSz w:w="12240" w:h="15840"/>
          <w:pgMar w:top="1440" w:right="1440" w:bottom="1440" w:left="1440" w:header="720" w:footer="720" w:gutter="0"/>
          <w:cols w:space="720"/>
          <w:docGrid w:linePitch="326"/>
        </w:sectPr>
      </w:pPr>
      <w:bookmarkStart w:id="45" w:name="_Ref465628366"/>
      <w:bookmarkStart w:id="46" w:name="_Ref465628344"/>
    </w:p>
    <w:p w:rsidR="008E45C3" w:rsidRDefault="008E45C3" w:rsidP="008E45C3">
      <w:pPr>
        <w:pStyle w:val="Caption"/>
        <w:keepNext/>
      </w:pPr>
      <w:bookmarkStart w:id="47" w:name="_Ref465677725"/>
      <w:bookmarkStart w:id="48" w:name="_Toc465640561"/>
      <w:r>
        <w:lastRenderedPageBreak/>
        <w:t xml:space="preserve">Figure </w:t>
      </w:r>
      <w:r>
        <w:fldChar w:fldCharType="begin"/>
      </w:r>
      <w:r>
        <w:instrText xml:space="preserve"> SEQ Figure \* ARABIC </w:instrText>
      </w:r>
      <w:r>
        <w:fldChar w:fldCharType="separate"/>
      </w:r>
      <w:r>
        <w:rPr>
          <w:noProof/>
        </w:rPr>
        <w:t>13</w:t>
      </w:r>
      <w:r>
        <w:rPr>
          <w:noProof/>
        </w:rPr>
        <w:fldChar w:fldCharType="end"/>
      </w:r>
      <w:bookmarkEnd w:id="45"/>
      <w:bookmarkEnd w:id="47"/>
      <w:r>
        <w:t>. Soil pH measured from 15 cm soil core samples collected on 28 Mar. 2014, 25 April 2014, 8 Aug. 2014, 7 Nov. 2014, 28 Mar. 2015, 28 April 2015, 12 Aug. 2015, and 12 Nov. 2015. March sampling dates are prior to cover crop incorporation, April dates are 30 days after incorporation, August dates are after tomato cropping, and November dates are after broccoli cropping in a high tunnel in Fayetteville, AR. Mean separation was performed by LSD at P &lt; 0.05. N = 3 experimental units. Upper-case letters represent means separation among sampling dates and lower-case letters represent means separation among cover crop treatments.</w:t>
      </w:r>
      <w:bookmarkEnd w:id="46"/>
      <w:bookmarkEnd w:id="48"/>
    </w:p>
    <w:p w:rsidR="008E45C3" w:rsidRDefault="008E45C3" w:rsidP="008E45C3">
      <w:pPr>
        <w:pStyle w:val="MediumGrid1-Accent21"/>
        <w:spacing w:line="480" w:lineRule="auto"/>
        <w:ind w:left="0"/>
      </w:pPr>
      <w:r>
        <w:rPr>
          <w:noProof/>
        </w:rPr>
        <w:drawing>
          <wp:inline distT="0" distB="0" distL="0" distR="0" wp14:anchorId="2A7F5C1D" wp14:editId="72FD85F2">
            <wp:extent cx="8147685" cy="4834551"/>
            <wp:effectExtent l="0" t="0" r="5715" b="444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E45C3" w:rsidRDefault="008E45C3" w:rsidP="008E45C3">
      <w:pPr>
        <w:sectPr w:rsidR="008E45C3" w:rsidSect="004E3108">
          <w:pgSz w:w="15840" w:h="12240" w:orient="landscape"/>
          <w:pgMar w:top="1440" w:right="1440" w:bottom="1440" w:left="1440" w:header="720" w:footer="720" w:gutter="0"/>
          <w:cols w:space="720"/>
          <w:docGrid w:linePitch="326"/>
        </w:sectPr>
      </w:pPr>
    </w:p>
    <w:p w:rsidR="008E45C3" w:rsidRDefault="008E45C3" w:rsidP="008E45C3">
      <w:pPr>
        <w:pStyle w:val="Caption"/>
        <w:keepNext/>
      </w:pPr>
      <w:bookmarkStart w:id="49" w:name="_Ref465628482"/>
      <w:bookmarkStart w:id="50" w:name="_Toc465640654"/>
      <w:r>
        <w:lastRenderedPageBreak/>
        <w:t xml:space="preserve">Table </w:t>
      </w:r>
      <w:r>
        <w:fldChar w:fldCharType="begin"/>
      </w:r>
      <w:r>
        <w:instrText xml:space="preserve"> SEQ Table \* ARABIC </w:instrText>
      </w:r>
      <w:r>
        <w:fldChar w:fldCharType="separate"/>
      </w:r>
      <w:r>
        <w:rPr>
          <w:noProof/>
        </w:rPr>
        <w:t>7</w:t>
      </w:r>
      <w:r>
        <w:rPr>
          <w:noProof/>
        </w:rPr>
        <w:fldChar w:fldCharType="end"/>
      </w:r>
      <w:bookmarkEnd w:id="49"/>
      <w:r>
        <w:t>. Statistical analysis of variance for interaction between cover crop treatment and sampling date for the variables pH, EC, and nutrient levels (P, K, Ca, Mg, S, Na, Fe, Mn, Zn, Cu, and B) measured from 15 cm soil core samples collected on 28 Mar. 2014, 25 April 2014, 8 Aug. 2014, 7 Nov. 2014, 28 Mar. 2015, 28 April 2015, 12 Aug. 2015, and 12 Nov. 2015. March sampling dates are prior to cover crop incorporation, April dates are 30 days after incorporation, August dates are after tomato cropping, and November dates are after broccoli cropping in a high tunnel in Fayetteville, AR. Highest-order interactions or significant main effects are bolded and shaded.</w:t>
      </w:r>
      <w:bookmarkEnd w:id="50"/>
    </w:p>
    <w:p w:rsidR="008E45C3" w:rsidRPr="00210ABF" w:rsidRDefault="008E45C3" w:rsidP="008E45C3"/>
    <w:p w:rsidR="008E45C3" w:rsidRDefault="008E45C3" w:rsidP="008E45C3">
      <w:r w:rsidRPr="00D13480">
        <w:rPr>
          <w:noProof/>
        </w:rPr>
        <w:drawing>
          <wp:inline distT="0" distB="0" distL="0" distR="0" wp14:anchorId="030884B6" wp14:editId="78D7EDE4">
            <wp:extent cx="5943600" cy="23699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369953"/>
                    </a:xfrm>
                    <a:prstGeom prst="rect">
                      <a:avLst/>
                    </a:prstGeom>
                    <a:noFill/>
                    <a:ln>
                      <a:noFill/>
                    </a:ln>
                  </pic:spPr>
                </pic:pic>
              </a:graphicData>
            </a:graphic>
          </wp:inline>
        </w:drawing>
      </w:r>
      <w:bookmarkStart w:id="51" w:name="_Ref465628551"/>
    </w:p>
    <w:p w:rsidR="008E45C3" w:rsidRDefault="008E45C3" w:rsidP="008E45C3">
      <w:r>
        <w:br w:type="page"/>
      </w:r>
    </w:p>
    <w:p w:rsidR="008E45C3" w:rsidRDefault="008E45C3" w:rsidP="008E45C3">
      <w:pPr>
        <w:sectPr w:rsidR="008E45C3" w:rsidSect="00D13480">
          <w:pgSz w:w="12240" w:h="15840"/>
          <w:pgMar w:top="1440" w:right="1440" w:bottom="1440" w:left="1440" w:header="720" w:footer="720" w:gutter="0"/>
          <w:cols w:space="720"/>
          <w:docGrid w:linePitch="326"/>
        </w:sectPr>
      </w:pPr>
    </w:p>
    <w:p w:rsidR="008E45C3" w:rsidRPr="00D13480" w:rsidRDefault="008E45C3" w:rsidP="008E45C3">
      <w:pPr>
        <w:pStyle w:val="Caption"/>
        <w:rPr>
          <w:rFonts w:eastAsiaTheme="majorEastAsia" w:cstheme="majorBidi"/>
          <w:b/>
          <w:caps/>
          <w:sz w:val="24"/>
          <w:szCs w:val="36"/>
        </w:rPr>
      </w:pPr>
      <w:bookmarkStart w:id="52" w:name="_Ref465678544"/>
      <w:bookmarkStart w:id="53" w:name="_Toc465640562"/>
      <w:r>
        <w:lastRenderedPageBreak/>
        <w:t xml:space="preserve">Figure </w:t>
      </w:r>
      <w:r>
        <w:fldChar w:fldCharType="begin"/>
      </w:r>
      <w:r>
        <w:instrText xml:space="preserve"> SEQ Figure \* ARABIC </w:instrText>
      </w:r>
      <w:r>
        <w:fldChar w:fldCharType="separate"/>
      </w:r>
      <w:r>
        <w:rPr>
          <w:noProof/>
        </w:rPr>
        <w:t>14</w:t>
      </w:r>
      <w:r>
        <w:rPr>
          <w:noProof/>
        </w:rPr>
        <w:fldChar w:fldCharType="end"/>
      </w:r>
      <w:bookmarkEnd w:id="51"/>
      <w:bookmarkEnd w:id="52"/>
      <w:r>
        <w:t>. Soil EC (dS/m) measured from 15 cm soil core samples collected on 28 Mar. 2014, 25 April 2014, 8 Aug. 2014, 7 Nov. 2014, 28 Mar. 2015, 28 April 2015, 12 Aug. 2015, and 12 Nov. 2015. March sampling dates are prior to cover crop incorporation, April dates are 30 days after incorporation, August dates are after tomato cropping, and November dates are after broccoli cropping in a high tunnel in Fayetteville, AR. Mean separation was performed by LSD at P &lt; 0.05. N = 3 experimental units.</w:t>
      </w:r>
      <w:bookmarkEnd w:id="53"/>
    </w:p>
    <w:p w:rsidR="008E45C3" w:rsidRDefault="008E45C3" w:rsidP="008E45C3">
      <w:pPr>
        <w:pStyle w:val="MediumGrid1-Accent21"/>
        <w:spacing w:line="480" w:lineRule="auto"/>
        <w:ind w:left="0"/>
      </w:pPr>
      <w:r>
        <w:rPr>
          <w:noProof/>
        </w:rPr>
        <w:drawing>
          <wp:inline distT="0" distB="0" distL="0" distR="0" wp14:anchorId="0ECE3161" wp14:editId="17490FDC">
            <wp:extent cx="8093710" cy="4816443"/>
            <wp:effectExtent l="0" t="0" r="2540" b="38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E45C3" w:rsidRDefault="008E45C3" w:rsidP="008E45C3">
      <w:pPr>
        <w:sectPr w:rsidR="008E45C3" w:rsidSect="00D13480">
          <w:pgSz w:w="15840" w:h="12240" w:orient="landscape"/>
          <w:pgMar w:top="1440" w:right="1440" w:bottom="1440" w:left="1440" w:header="720" w:footer="720" w:gutter="0"/>
          <w:cols w:space="720"/>
          <w:docGrid w:linePitch="326"/>
        </w:sectPr>
      </w:pPr>
    </w:p>
    <w:p w:rsidR="008E45C3" w:rsidRDefault="008E45C3" w:rsidP="008E45C3">
      <w:pPr>
        <w:pStyle w:val="MediumGrid1-Accent21"/>
        <w:ind w:left="0"/>
        <w:rPr>
          <w:iCs/>
        </w:rPr>
      </w:pPr>
      <w:r>
        <w:rPr>
          <w:iCs/>
        </w:rPr>
        <w:lastRenderedPageBreak/>
        <w:t>Figure 2.1. Tomato leaf chlorophyll estimate (SPAD) mean values from tomatoes grown in a high tunnel in Fayetteville, AR in 2014 and 2015 following cover crop treatments. Upper case letters represent means separation at P &lt; 0.05, N = 3. Means comparison was carried out using Student’s t test.</w:t>
      </w:r>
    </w:p>
    <w:p w:rsidR="008E45C3" w:rsidRDefault="008E45C3" w:rsidP="008E45C3">
      <w:pPr>
        <w:pStyle w:val="MediumGrid1-Accent21"/>
        <w:ind w:left="0"/>
        <w:rPr>
          <w:iCs/>
        </w:rPr>
      </w:pPr>
      <w:r>
        <w:rPr>
          <w:noProof/>
        </w:rPr>
        <w:drawing>
          <wp:inline distT="0" distB="0" distL="0" distR="0" wp14:anchorId="2BEAD6EF" wp14:editId="6B4456FA">
            <wp:extent cx="4572000" cy="2489703"/>
            <wp:effectExtent l="0" t="0" r="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E45C3" w:rsidRDefault="008E45C3">
      <w:r>
        <w:br w:type="page"/>
      </w:r>
    </w:p>
    <w:p w:rsidR="008E45C3" w:rsidRDefault="008E45C3" w:rsidP="008E45C3">
      <w:pPr>
        <w:pStyle w:val="MediumGrid1-Accent21"/>
        <w:ind w:left="0"/>
        <w:rPr>
          <w:iCs/>
        </w:rPr>
      </w:pPr>
      <w:r>
        <w:rPr>
          <w:iCs/>
        </w:rPr>
        <w:lastRenderedPageBreak/>
        <w:t>Figure 2.3. Tomato foliar N concentration measured from leaf samples collected in 2014 and 2015 from tomatoes grown in a high tunnel in Fayetteville, AR after winter cover crop treatments. Means comparison using Student’s t test at P &lt; 0.05. Bars represent standard error from the mean.</w:t>
      </w:r>
    </w:p>
    <w:p w:rsidR="008E45C3" w:rsidRDefault="008E45C3" w:rsidP="008E45C3">
      <w:pPr>
        <w:pStyle w:val="MediumGrid1-Accent21"/>
        <w:ind w:left="0"/>
        <w:rPr>
          <w:iCs/>
        </w:rPr>
      </w:pPr>
      <w:r>
        <w:rPr>
          <w:noProof/>
        </w:rPr>
        <w:drawing>
          <wp:inline distT="0" distB="0" distL="0" distR="0" wp14:anchorId="282FC187" wp14:editId="4B20327B">
            <wp:extent cx="4572000" cy="2743199"/>
            <wp:effectExtent l="0" t="0" r="0" b="63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E45C3" w:rsidRDefault="008E45C3">
      <w:r>
        <w:br w:type="page"/>
      </w:r>
    </w:p>
    <w:p w:rsidR="008E45C3" w:rsidRDefault="008E45C3" w:rsidP="008E45C3">
      <w:pPr>
        <w:pStyle w:val="MediumGrid1-Accent21"/>
        <w:ind w:left="0"/>
        <w:rPr>
          <w:iCs/>
        </w:rPr>
      </w:pPr>
      <w:r>
        <w:rPr>
          <w:iCs/>
        </w:rPr>
        <w:lastRenderedPageBreak/>
        <w:t>Figure 2.6. Tomato yield per plant measured from tomatoes grown in 2014 and 2015 in a high tunnel in Fayetteville, AR following winter cover crop treatments. No significant differences between treatments was detected at P &lt; 0.10. Bars represent standard error of the mean.</w:t>
      </w:r>
    </w:p>
    <w:p w:rsidR="008E45C3" w:rsidRDefault="008E45C3" w:rsidP="008E45C3">
      <w:pPr>
        <w:pStyle w:val="MediumGrid1-Accent21"/>
        <w:ind w:left="0"/>
        <w:rPr>
          <w:iCs/>
        </w:rPr>
      </w:pPr>
      <w:r>
        <w:rPr>
          <w:noProof/>
        </w:rPr>
        <w:drawing>
          <wp:inline distT="0" distB="0" distL="0" distR="0" wp14:anchorId="0D923E97" wp14:editId="3E77DC5B">
            <wp:extent cx="4371975" cy="2743200"/>
            <wp:effectExtent l="0" t="0" r="952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E45C3" w:rsidRDefault="008E45C3">
      <w:r>
        <w:br w:type="page"/>
      </w:r>
    </w:p>
    <w:p w:rsidR="008E45C3" w:rsidRDefault="008E45C3" w:rsidP="008E45C3">
      <w:pPr>
        <w:pStyle w:val="MediumGrid1-Accent21"/>
        <w:ind w:left="0"/>
        <w:rPr>
          <w:iCs/>
        </w:rPr>
      </w:pPr>
      <w:r w:rsidRPr="001D09F6">
        <w:rPr>
          <w:iCs/>
        </w:rPr>
        <w:lastRenderedPageBreak/>
        <w:t xml:space="preserve">Figure 2.11. </w:t>
      </w:r>
      <w:r>
        <w:rPr>
          <w:iCs/>
        </w:rPr>
        <w:t>Broccoli foliar N concentration measured on 6 Nov.</w:t>
      </w:r>
      <w:r w:rsidRPr="001D09F6">
        <w:rPr>
          <w:iCs/>
        </w:rPr>
        <w:t xml:space="preserve"> </w:t>
      </w:r>
      <w:r>
        <w:rPr>
          <w:iCs/>
        </w:rPr>
        <w:t>2014 and 5 Nov. 2015 from broccoli grown in a high tunnel in Fayetteville, AR following tomatoes which were preceded by winter cover crop treatments. No significant differences between treatments was detected at P &lt; 0.05. Bars represent standard error from the mean.</w:t>
      </w:r>
    </w:p>
    <w:p w:rsidR="008E45C3" w:rsidRPr="001D09F6" w:rsidRDefault="008E45C3" w:rsidP="008E45C3">
      <w:pPr>
        <w:pStyle w:val="MediumGrid1-Accent21"/>
        <w:ind w:left="0"/>
        <w:rPr>
          <w:iCs/>
        </w:rPr>
      </w:pPr>
      <w:r>
        <w:rPr>
          <w:noProof/>
        </w:rPr>
        <w:drawing>
          <wp:anchor distT="0" distB="0" distL="114300" distR="114300" simplePos="0" relativeHeight="251659264" behindDoc="0" locked="0" layoutInCell="1" allowOverlap="1" wp14:anchorId="10DB12B9" wp14:editId="3F69F7F5">
            <wp:simplePos x="0" y="0"/>
            <wp:positionH relativeFrom="column">
              <wp:posOffset>0</wp:posOffset>
            </wp:positionH>
            <wp:positionV relativeFrom="paragraph">
              <wp:posOffset>172720</wp:posOffset>
            </wp:positionV>
            <wp:extent cx="4572000" cy="2743200"/>
            <wp:effectExtent l="0" t="0" r="0" b="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8E45C3" w:rsidRDefault="008E45C3" w:rsidP="008E45C3">
      <w:r>
        <w:rPr>
          <w:rFonts w:ascii="Times New Roman" w:hAnsi="Times New Roman"/>
          <w:b/>
          <w:iCs/>
        </w:rPr>
        <w:br w:type="textWrapping" w:clear="all"/>
      </w:r>
    </w:p>
    <w:p w:rsidR="008E45C3" w:rsidRDefault="008E45C3" w:rsidP="008E45C3">
      <w:r>
        <w:br w:type="page"/>
      </w:r>
    </w:p>
    <w:p w:rsidR="008E45C3" w:rsidRPr="00731F84" w:rsidRDefault="008E45C3" w:rsidP="008E45C3">
      <w:pPr>
        <w:pStyle w:val="MediumGrid1-Accent21"/>
        <w:ind w:left="0"/>
        <w:rPr>
          <w:iCs/>
        </w:rPr>
      </w:pPr>
      <w:r>
        <w:rPr>
          <w:iCs/>
        </w:rPr>
        <w:lastRenderedPageBreak/>
        <w:t>Figure 2.12</w:t>
      </w:r>
      <w:r w:rsidRPr="00731F84">
        <w:rPr>
          <w:iCs/>
        </w:rPr>
        <w:t>. Broccoli</w:t>
      </w:r>
      <w:r>
        <w:rPr>
          <w:iCs/>
        </w:rPr>
        <w:t xml:space="preserve"> plant fresh weight</w:t>
      </w:r>
      <w:r w:rsidRPr="00731F84">
        <w:rPr>
          <w:iCs/>
        </w:rPr>
        <w:t xml:space="preserve"> biomass</w:t>
      </w:r>
      <w:r>
        <w:rPr>
          <w:iCs/>
        </w:rPr>
        <w:t xml:space="preserve"> (g) across years measured on 7 Nov. 2014 and 9 Nov. 2015 from broccoli grown in a high tunnel in Fayetteville, AR following tomatoes which were preceded by winter cover crop treatments. Upper case letters represent m</w:t>
      </w:r>
      <w:r w:rsidRPr="00731F84">
        <w:rPr>
          <w:iCs/>
        </w:rPr>
        <w:t>eans separation by Student’s t Test at P &lt; 0.05, N=3.</w:t>
      </w:r>
    </w:p>
    <w:p w:rsidR="008E45C3" w:rsidRDefault="008E45C3" w:rsidP="008E45C3">
      <w:pPr>
        <w:pStyle w:val="MediumGrid1-Accent21"/>
        <w:ind w:left="0"/>
        <w:rPr>
          <w:b/>
          <w:iCs/>
        </w:rPr>
      </w:pPr>
      <w:r>
        <w:rPr>
          <w:noProof/>
        </w:rPr>
        <w:drawing>
          <wp:inline distT="0" distB="0" distL="0" distR="0" wp14:anchorId="49D4D30C" wp14:editId="04B14436">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E45C3" w:rsidRDefault="008E45C3">
      <w:r>
        <w:br w:type="page"/>
      </w:r>
    </w:p>
    <w:p w:rsidR="008E45C3" w:rsidRPr="00AE3E9E" w:rsidRDefault="008E45C3" w:rsidP="008E45C3">
      <w:pPr>
        <w:pStyle w:val="MediumGrid1-Accent21"/>
        <w:ind w:left="0"/>
        <w:rPr>
          <w:iCs/>
        </w:rPr>
      </w:pPr>
      <w:r>
        <w:rPr>
          <w:iCs/>
        </w:rPr>
        <w:lastRenderedPageBreak/>
        <w:t>Figure 2.13. Broccoli total yield (kg) per plot, with harvest occurring through the month of Oct. in 2014 and 2015 from broccoli grown in a high tunnel in Fayetteville, AR following tomatoes which were preceded by winter cover crop treatments. No differences were detected between treatments means with Student’s t-test at P &lt; 0.05, N = 3. Bars represent standard error from the mean.</w:t>
      </w:r>
    </w:p>
    <w:p w:rsidR="008E45C3" w:rsidRDefault="008E45C3" w:rsidP="008E45C3">
      <w:pPr>
        <w:pStyle w:val="MediumGrid1-Accent21"/>
        <w:ind w:left="0"/>
        <w:rPr>
          <w:b/>
          <w:iCs/>
        </w:rPr>
      </w:pPr>
      <w:r>
        <w:rPr>
          <w:noProof/>
        </w:rPr>
        <w:drawing>
          <wp:inline distT="0" distB="0" distL="0" distR="0" wp14:anchorId="402BC1C7" wp14:editId="69B5C828">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E45C3" w:rsidRDefault="008E45C3" w:rsidP="008E45C3">
      <w:pPr>
        <w:pStyle w:val="MediumGrid1-Accent21"/>
        <w:ind w:left="0"/>
        <w:rPr>
          <w:b/>
          <w:iCs/>
        </w:rPr>
      </w:pPr>
    </w:p>
    <w:p w:rsidR="008E45C3" w:rsidRDefault="008E45C3">
      <w:r>
        <w:br w:type="page"/>
      </w:r>
    </w:p>
    <w:p w:rsidR="008E45C3" w:rsidRPr="00AE3E9E" w:rsidRDefault="008E45C3" w:rsidP="008E45C3">
      <w:pPr>
        <w:pStyle w:val="MediumGrid1-Accent21"/>
        <w:ind w:left="0"/>
        <w:rPr>
          <w:iCs/>
        </w:rPr>
      </w:pPr>
      <w:r>
        <w:rPr>
          <w:iCs/>
        </w:rPr>
        <w:lastRenderedPageBreak/>
        <w:t>Figure 2.14. Broccoli average head weight (g) from harvest occurring through the month of Oct. in 2014 and 2015 from broccoli grown in a high tunnel in Fayetteville, AR following tomatoes which were preceded by winter cover crop treatments. No differences were detected between treatments means with Student’s t-test at P &lt; 0.05, N = 3. Bars represent standard error from the mean.</w:t>
      </w:r>
    </w:p>
    <w:p w:rsidR="008E45C3" w:rsidRDefault="008E45C3" w:rsidP="008E45C3">
      <w:pPr>
        <w:pStyle w:val="MediumGrid1-Accent21"/>
        <w:ind w:left="0"/>
        <w:rPr>
          <w:iCs/>
        </w:rPr>
      </w:pPr>
    </w:p>
    <w:p w:rsidR="008E45C3" w:rsidRDefault="008E45C3" w:rsidP="008E45C3">
      <w:pPr>
        <w:pStyle w:val="MediumGrid1-Accent21"/>
        <w:ind w:left="0"/>
        <w:rPr>
          <w:iCs/>
        </w:rPr>
      </w:pPr>
      <w:r>
        <w:rPr>
          <w:noProof/>
        </w:rPr>
        <w:drawing>
          <wp:anchor distT="0" distB="0" distL="114300" distR="114300" simplePos="0" relativeHeight="251661312" behindDoc="0" locked="0" layoutInCell="1" allowOverlap="1" wp14:anchorId="30CABAB0" wp14:editId="6C68D0B8">
            <wp:simplePos x="0" y="0"/>
            <wp:positionH relativeFrom="column">
              <wp:align>left</wp:align>
            </wp:positionH>
            <wp:positionV relativeFrom="paragraph">
              <wp:align>top</wp:align>
            </wp:positionV>
            <wp:extent cx="4572000" cy="2743200"/>
            <wp:effectExtent l="0" t="0" r="0" b="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Pr>
          <w:iCs/>
        </w:rPr>
        <w:br w:type="textWrapping" w:clear="all"/>
      </w:r>
    </w:p>
    <w:p w:rsidR="008E45C3" w:rsidRPr="008E45C3" w:rsidRDefault="008E45C3" w:rsidP="008E45C3">
      <w:r>
        <w:br w:type="page"/>
      </w:r>
    </w:p>
    <w:p w:rsidR="008E45C3" w:rsidRDefault="008E45C3" w:rsidP="008E45C3">
      <w:pPr>
        <w:pStyle w:val="MediumGrid1-Accent21"/>
        <w:spacing w:line="480" w:lineRule="auto"/>
        <w:ind w:left="0"/>
        <w:sectPr w:rsidR="008E45C3" w:rsidSect="008E45C3">
          <w:pgSz w:w="12240" w:h="15840"/>
          <w:pgMar w:top="1440" w:right="1440" w:bottom="1440" w:left="1440" w:header="720" w:footer="720" w:gutter="0"/>
          <w:cols w:space="720"/>
          <w:docGrid w:linePitch="326"/>
        </w:sectPr>
      </w:pPr>
    </w:p>
    <w:p w:rsidR="008E45C3" w:rsidRPr="00A538D7" w:rsidRDefault="008E45C3" w:rsidP="008E45C3">
      <w:pPr>
        <w:pStyle w:val="Heading1"/>
      </w:pPr>
      <w:bookmarkStart w:id="54" w:name="_Toc465640757"/>
      <w:r w:rsidRPr="00861970">
        <w:lastRenderedPageBreak/>
        <w:t>Appendix A</w:t>
      </w:r>
      <w:bookmarkEnd w:id="54"/>
    </w:p>
    <w:p w:rsidR="008E45C3" w:rsidRPr="003E12E5" w:rsidRDefault="008E45C3" w:rsidP="008E45C3">
      <w:pPr>
        <w:pStyle w:val="Default"/>
        <w:rPr>
          <w:rFonts w:ascii="Times New Roman" w:hAnsi="Times New Roman" w:cs="Times New Roman"/>
        </w:rPr>
      </w:pPr>
      <w:r>
        <w:rPr>
          <w:rFonts w:ascii="Times New Roman" w:hAnsi="Times New Roman" w:cs="Times New Roman"/>
        </w:rPr>
        <w:t>Figure A.1.</w:t>
      </w:r>
      <w:r w:rsidRPr="00846401">
        <w:rPr>
          <w:rFonts w:ascii="Times New Roman" w:hAnsi="Times New Roman"/>
          <w:b/>
          <w:i/>
          <w:iCs/>
          <w:noProof/>
        </w:rPr>
        <w:drawing>
          <wp:inline distT="0" distB="0" distL="0" distR="0" wp14:anchorId="68F2388C" wp14:editId="2F703398">
            <wp:extent cx="5548185" cy="7176359"/>
            <wp:effectExtent l="0" t="0" r="0" b="5715"/>
            <wp:docPr id="4" name="Picture 4" descr="High Tunnel Cover Crop Map 2013_metric 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 Tunnel Cover Crop Map 2013_metric Sheet1"/>
                    <pic:cNvPicPr>
                      <a:picLocks noChangeAspect="1" noChangeArrowheads="1"/>
                    </pic:cNvPicPr>
                  </pic:nvPicPr>
                  <pic:blipFill>
                    <a:blip r:embed="rId35"/>
                    <a:srcRect/>
                    <a:stretch>
                      <a:fillRect/>
                    </a:stretch>
                  </pic:blipFill>
                  <pic:spPr bwMode="auto">
                    <a:xfrm>
                      <a:off x="0" y="0"/>
                      <a:ext cx="5555976" cy="7186437"/>
                    </a:xfrm>
                    <a:prstGeom prst="rect">
                      <a:avLst/>
                    </a:prstGeom>
                    <a:noFill/>
                    <a:ln w="9525">
                      <a:noFill/>
                      <a:miter lim="800000"/>
                      <a:headEnd/>
                      <a:tailEnd/>
                    </a:ln>
                  </pic:spPr>
                </pic:pic>
              </a:graphicData>
            </a:graphic>
          </wp:inline>
        </w:drawing>
      </w:r>
    </w:p>
    <w:p w:rsidR="008E45C3" w:rsidRDefault="008E45C3" w:rsidP="008E45C3">
      <w:pPr>
        <w:spacing w:after="0" w:line="240" w:lineRule="auto"/>
        <w:rPr>
          <w:rFonts w:ascii="Times New Roman" w:hAnsi="Times New Roman" w:cs="Times New Roman"/>
        </w:rPr>
      </w:pPr>
      <w:r>
        <w:rPr>
          <w:rFonts w:ascii="Times New Roman" w:hAnsi="Times New Roman" w:cs="Times New Roman"/>
        </w:rPr>
        <w:lastRenderedPageBreak/>
        <w:t>Figure A.2</w:t>
      </w:r>
    </w:p>
    <w:p w:rsidR="008E45C3" w:rsidRPr="008E45C3" w:rsidRDefault="008E45C3" w:rsidP="008E45C3">
      <w:pPr>
        <w:spacing w:after="0" w:line="240" w:lineRule="auto"/>
        <w:rPr>
          <w:rFonts w:ascii="Times New Roman" w:hAnsi="Times New Roman" w:cs="Times New Roman"/>
          <w:sz w:val="24"/>
          <w:szCs w:val="24"/>
        </w:rPr>
      </w:pPr>
      <w:r w:rsidRPr="003E12E5">
        <w:rPr>
          <w:rFonts w:ascii="Times New Roman" w:hAnsi="Times New Roman"/>
          <w:b/>
          <w:iCs/>
          <w:noProof/>
        </w:rPr>
        <w:drawing>
          <wp:inline distT="0" distB="0" distL="0" distR="0" wp14:anchorId="0DEF498D" wp14:editId="2FE5641D">
            <wp:extent cx="5722558" cy="740569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gh Tunnel Vegetable Crop Map 2014_metric.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2991" cy="7419201"/>
                    </a:xfrm>
                    <a:prstGeom prst="rect">
                      <a:avLst/>
                    </a:prstGeom>
                  </pic:spPr>
                </pic:pic>
              </a:graphicData>
            </a:graphic>
          </wp:inline>
        </w:drawing>
      </w:r>
    </w:p>
    <w:sectPr w:rsidR="008E45C3" w:rsidRPr="008E45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55F" w:rsidRDefault="00A5155F" w:rsidP="008E45C3">
      <w:pPr>
        <w:spacing w:after="0" w:line="240" w:lineRule="auto"/>
      </w:pPr>
      <w:r>
        <w:separator/>
      </w:r>
    </w:p>
  </w:endnote>
  <w:endnote w:type="continuationSeparator" w:id="0">
    <w:p w:rsidR="00A5155F" w:rsidRDefault="00A5155F" w:rsidP="008E4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kStateU">
    <w:altName w:val="Cambria"/>
    <w:panose1 w:val="00000000000000000000"/>
    <w:charset w:val="4D"/>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6794907"/>
      <w:docPartObj>
        <w:docPartGallery w:val="Page Numbers (Bottom of Page)"/>
        <w:docPartUnique/>
      </w:docPartObj>
    </w:sdtPr>
    <w:sdtEndPr>
      <w:rPr>
        <w:rFonts w:ascii="Times New Roman" w:hAnsi="Times New Roman"/>
        <w:noProof/>
      </w:rPr>
    </w:sdtEndPr>
    <w:sdtContent>
      <w:p w:rsidR="000448AF" w:rsidRPr="00D97C27" w:rsidRDefault="00A5155F">
        <w:pPr>
          <w:pStyle w:val="Footer"/>
          <w:jc w:val="center"/>
          <w:rPr>
            <w:rFonts w:ascii="Times New Roman" w:hAnsi="Times New Roman"/>
          </w:rPr>
        </w:pPr>
        <w:r w:rsidRPr="00D97C27">
          <w:rPr>
            <w:rFonts w:ascii="Times New Roman" w:hAnsi="Times New Roman"/>
          </w:rPr>
          <w:fldChar w:fldCharType="begin"/>
        </w:r>
        <w:r w:rsidRPr="00D97C27">
          <w:rPr>
            <w:rFonts w:ascii="Times New Roman" w:hAnsi="Times New Roman"/>
          </w:rPr>
          <w:instrText xml:space="preserve"> PAGE   \* MERGEFORMAT </w:instrText>
        </w:r>
        <w:r w:rsidRPr="00D97C27">
          <w:rPr>
            <w:rFonts w:ascii="Times New Roman" w:hAnsi="Times New Roman"/>
          </w:rPr>
          <w:fldChar w:fldCharType="separate"/>
        </w:r>
        <w:r w:rsidR="008E45C3">
          <w:rPr>
            <w:rFonts w:ascii="Times New Roman" w:hAnsi="Times New Roman"/>
            <w:noProof/>
          </w:rPr>
          <w:t>1</w:t>
        </w:r>
        <w:r w:rsidRPr="00D97C27">
          <w:rPr>
            <w:rFonts w:ascii="Times New Roman" w:hAnsi="Times New Roman"/>
            <w:noProof/>
          </w:rPr>
          <w:fldChar w:fldCharType="end"/>
        </w:r>
      </w:p>
    </w:sdtContent>
  </w:sdt>
  <w:p w:rsidR="000448AF" w:rsidRDefault="00A5155F" w:rsidP="003E12E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55F" w:rsidRDefault="00A5155F" w:rsidP="008E45C3">
      <w:pPr>
        <w:spacing w:after="0" w:line="240" w:lineRule="auto"/>
      </w:pPr>
      <w:r>
        <w:separator/>
      </w:r>
    </w:p>
  </w:footnote>
  <w:footnote w:type="continuationSeparator" w:id="0">
    <w:p w:rsidR="00A5155F" w:rsidRDefault="00A5155F" w:rsidP="008E45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8AF" w:rsidRPr="00E71F0D" w:rsidRDefault="00A5155F" w:rsidP="009C10BC">
    <w:pPr>
      <w:pStyle w:val="Header"/>
      <w:tabs>
        <w:tab w:val="clear" w:pos="4320"/>
      </w:tabs>
      <w:rPr>
        <w:rFonts w:ascii="Times New Roman" w:hAnsi="Times New Roman"/>
      </w:rPr>
    </w:pPr>
    <w:r w:rsidRPr="00E71F0D">
      <w:rPr>
        <w:rFonts w:ascii="Times New Roman" w:hAnsi="Times New Roman"/>
      </w:rPr>
      <w:tab/>
    </w:r>
  </w:p>
  <w:p w:rsidR="000448AF" w:rsidRDefault="00A5155F" w:rsidP="009C10BC">
    <w:pPr>
      <w:pStyle w:val="Header"/>
      <w:tabs>
        <w:tab w:val="clear" w:pos="4320"/>
        <w:tab w:val="clear" w:pos="8640"/>
        <w:tab w:val="left" w:pos="1216"/>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5C3"/>
    <w:rsid w:val="000B4D07"/>
    <w:rsid w:val="008349AC"/>
    <w:rsid w:val="008E45C3"/>
    <w:rsid w:val="00A51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9240EF-34B8-4B5B-9760-D132CA0DC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E45C3"/>
    <w:pPr>
      <w:keepNext/>
      <w:keepLines/>
      <w:spacing w:before="120" w:after="240" w:line="360" w:lineRule="auto"/>
      <w:outlineLvl w:val="0"/>
    </w:pPr>
    <w:rPr>
      <w:rFonts w:ascii="Times New Roman" w:eastAsiaTheme="majorEastAsia" w:hAnsi="Times New Roman" w:cstheme="majorBidi"/>
      <w:b/>
      <w:caps/>
      <w:color w:val="000000" w:themeColor="text1"/>
      <w:sz w:val="24"/>
      <w:szCs w:val="36"/>
    </w:rPr>
  </w:style>
  <w:style w:type="paragraph" w:styleId="Heading2">
    <w:name w:val="heading 2"/>
    <w:basedOn w:val="Normal"/>
    <w:next w:val="Normal"/>
    <w:link w:val="Heading2Char"/>
    <w:uiPriority w:val="9"/>
    <w:unhideWhenUsed/>
    <w:qFormat/>
    <w:rsid w:val="008E45C3"/>
    <w:pPr>
      <w:keepNext/>
      <w:keepLines/>
      <w:spacing w:before="120" w:after="120" w:line="360" w:lineRule="auto"/>
      <w:outlineLvl w:val="1"/>
    </w:pPr>
    <w:rPr>
      <w:rFonts w:ascii="Times New Roman" w:eastAsiaTheme="majorEastAsia" w:hAnsi="Times New Roman" w:cstheme="majorBidi"/>
      <w:b/>
      <w:color w:val="000000" w:themeColor="text1"/>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5C3"/>
    <w:rPr>
      <w:rFonts w:ascii="Times New Roman" w:eastAsiaTheme="majorEastAsia" w:hAnsi="Times New Roman" w:cstheme="majorBidi"/>
      <w:b/>
      <w:caps/>
      <w:color w:val="000000" w:themeColor="text1"/>
      <w:sz w:val="24"/>
      <w:szCs w:val="36"/>
    </w:rPr>
  </w:style>
  <w:style w:type="character" w:customStyle="1" w:styleId="Heading2Char">
    <w:name w:val="Heading 2 Char"/>
    <w:basedOn w:val="DefaultParagraphFont"/>
    <w:link w:val="Heading2"/>
    <w:uiPriority w:val="9"/>
    <w:rsid w:val="008E45C3"/>
    <w:rPr>
      <w:rFonts w:ascii="Times New Roman" w:eastAsiaTheme="majorEastAsia" w:hAnsi="Times New Roman" w:cstheme="majorBidi"/>
      <w:b/>
      <w:color w:val="000000" w:themeColor="text1"/>
      <w:sz w:val="24"/>
      <w:szCs w:val="32"/>
    </w:rPr>
  </w:style>
  <w:style w:type="paragraph" w:styleId="Header">
    <w:name w:val="header"/>
    <w:basedOn w:val="Normal"/>
    <w:link w:val="HeaderChar"/>
    <w:unhideWhenUsed/>
    <w:rsid w:val="008E45C3"/>
    <w:pPr>
      <w:tabs>
        <w:tab w:val="center" w:pos="4320"/>
        <w:tab w:val="right" w:pos="8640"/>
      </w:tabs>
    </w:pPr>
    <w:rPr>
      <w:rFonts w:eastAsiaTheme="minorEastAsia"/>
    </w:rPr>
  </w:style>
  <w:style w:type="character" w:customStyle="1" w:styleId="HeaderChar">
    <w:name w:val="Header Char"/>
    <w:basedOn w:val="DefaultParagraphFont"/>
    <w:link w:val="Header"/>
    <w:rsid w:val="008E45C3"/>
    <w:rPr>
      <w:rFonts w:eastAsiaTheme="minorEastAsia"/>
    </w:rPr>
  </w:style>
  <w:style w:type="paragraph" w:styleId="Footer">
    <w:name w:val="footer"/>
    <w:basedOn w:val="Normal"/>
    <w:link w:val="FooterChar"/>
    <w:uiPriority w:val="99"/>
    <w:unhideWhenUsed/>
    <w:rsid w:val="008E45C3"/>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8E45C3"/>
    <w:rPr>
      <w:rFonts w:eastAsiaTheme="minorEastAsia"/>
    </w:rPr>
  </w:style>
  <w:style w:type="paragraph" w:customStyle="1" w:styleId="MediumGrid1-Accent21">
    <w:name w:val="Medium Grid 1 - Accent 21"/>
    <w:basedOn w:val="Normal"/>
    <w:uiPriority w:val="34"/>
    <w:qFormat/>
    <w:rsid w:val="008E45C3"/>
    <w:pPr>
      <w:ind w:left="720"/>
      <w:contextualSpacing/>
    </w:pPr>
    <w:rPr>
      <w:rFonts w:ascii="Times New Roman" w:eastAsiaTheme="minorEastAsia" w:hAnsi="Times New Roman"/>
      <w:sz w:val="24"/>
    </w:rPr>
  </w:style>
  <w:style w:type="paragraph" w:customStyle="1" w:styleId="Default">
    <w:name w:val="Default"/>
    <w:rsid w:val="008E45C3"/>
    <w:pPr>
      <w:widowControl w:val="0"/>
      <w:autoSpaceDE w:val="0"/>
      <w:autoSpaceDN w:val="0"/>
      <w:adjustRightInd w:val="0"/>
    </w:pPr>
    <w:rPr>
      <w:rFonts w:ascii="OkStateU" w:eastAsiaTheme="minorEastAsia" w:hAnsi="OkStateU" w:cs="OkStateU"/>
      <w:color w:val="000000"/>
      <w:sz w:val="24"/>
      <w:szCs w:val="24"/>
    </w:rPr>
  </w:style>
  <w:style w:type="paragraph" w:styleId="Caption">
    <w:name w:val="caption"/>
    <w:basedOn w:val="Normal"/>
    <w:next w:val="Normal"/>
    <w:uiPriority w:val="35"/>
    <w:unhideWhenUsed/>
    <w:qFormat/>
    <w:rsid w:val="008E45C3"/>
    <w:pPr>
      <w:spacing w:after="0" w:line="240" w:lineRule="auto"/>
    </w:pPr>
    <w:rPr>
      <w:rFonts w:ascii="Times New Roman" w:eastAsiaTheme="minorEastAsia" w:hAnsi="Times New Roman"/>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image" Target="media/image2.emf"/><Relationship Id="rId26"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chart" Target="charts/chart21.xml"/><Relationship Id="rId7" Type="http://schemas.openxmlformats.org/officeDocument/2006/relationships/chart" Target="charts/chart1.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3.xml"/><Relationship Id="rId33" Type="http://schemas.openxmlformats.org/officeDocument/2006/relationships/chart" Target="charts/chart20.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header" Target="header1.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image" Target="media/image4.emf"/><Relationship Id="rId32" Type="http://schemas.openxmlformats.org/officeDocument/2006/relationships/chart" Target="charts/chart19.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2.xml"/><Relationship Id="rId28" Type="http://schemas.openxmlformats.org/officeDocument/2006/relationships/chart" Target="charts/chart15.xml"/><Relationship Id="rId36" Type="http://schemas.openxmlformats.org/officeDocument/2006/relationships/image" Target="media/image7.jpg"/><Relationship Id="rId10" Type="http://schemas.openxmlformats.org/officeDocument/2006/relationships/chart" Target="charts/chart3.xml"/><Relationship Id="rId19" Type="http://schemas.openxmlformats.org/officeDocument/2006/relationships/image" Target="media/image3.emf"/><Relationship Id="rId31" Type="http://schemas.openxmlformats.org/officeDocument/2006/relationships/chart" Target="charts/chart18.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chart" Target="charts/chart7.xml"/><Relationship Id="rId22" Type="http://schemas.openxmlformats.org/officeDocument/2006/relationships/chart" Target="charts/chart11.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lukef\Documents\Masters%20Thesis\Data\Cover%20Crop%20Data\Cover%20Crop%20Data%202014-201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Grad%20School\Masters%20Thesis\Data\Soil%20Data\Soil%20Analyses%202013-2015\Soil%20CN%202014-2015\Soil%20CN%202014-2015%20COMPLET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Grad%20School\Masters%20Thesis\Data\Soil%20Data\Soil%20Analyses%202013-2015\Soil%20Tests%202014-2015\SoilData%202014-2015%20COMPLETE%20By%20(Date,%20Tr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Grad%20School\Masters%20Thesis\Data\Soil%20Data\Soil%20Analyses%202013-2015\Soil%20Tests%202014-2015\SoilData%202014-2015%20COMPLETE%20By%20(Date,%20Tr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Grad%20School\Masters%20Thesis\Data\Tomato%20Data%202014-2015\Tomato%20SPAD%202014-2015\Tomato%20SPAD%202014-2015.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7.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8.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1.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ukef\Documents\Masters%20Thesis\Data\PROC%20CORR\PROC%20CORR%20Data%20Set%202014-201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Grad%20School\Masters%20Thesis\Data\Cover%20Crop%20Data\Cover%20Crop%20Data%202014-201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Grad%20School\Masters%20Thesis\Data\Cover%20Crop%20Data\Cover%20Crop%20Data%202014-201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Grad%20School\Masters%20Thesis\Data\Cover%20Crop%20Data\Cover%20Crop%20Data%202014-201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graphs!$C$2</c:f>
              <c:strCache>
                <c:ptCount val="1"/>
                <c:pt idx="0">
                  <c:v>2014</c:v>
                </c:pt>
              </c:strCache>
            </c:strRef>
          </c:tx>
          <c:spPr>
            <a:solidFill>
              <a:schemeClr val="bg1">
                <a:lumMod val="75000"/>
              </a:schemeClr>
            </a:solidFill>
            <a:ln>
              <a:noFill/>
            </a:ln>
            <a:effectLst/>
          </c:spPr>
          <c:invertIfNegative val="0"/>
          <c:dLbls>
            <c:dLbl>
              <c:idx val="0"/>
              <c:tx>
                <c:rich>
                  <a:bodyPr/>
                  <a:lstStyle/>
                  <a:p>
                    <a:r>
                      <a:rPr lang="en-US"/>
                      <a:t>E</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674-48BE-9379-F7E5ED674FB4}"/>
                </c:ext>
                <c:ext xmlns:c15="http://schemas.microsoft.com/office/drawing/2012/chart" uri="{CE6537A1-D6FC-4f65-9D91-7224C49458BB}"/>
              </c:extLst>
            </c:dLbl>
            <c:dLbl>
              <c:idx val="1"/>
              <c:tx>
                <c:rich>
                  <a:bodyPr/>
                  <a:lstStyle/>
                  <a:p>
                    <a:r>
                      <a:rPr lang="en-US"/>
                      <a:t>CD</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674-48BE-9379-F7E5ED674FB4}"/>
                </c:ext>
                <c:ext xmlns:c15="http://schemas.microsoft.com/office/drawing/2012/chart" uri="{CE6537A1-D6FC-4f65-9D91-7224C49458BB}"/>
              </c:extLst>
            </c:dLbl>
            <c:dLbl>
              <c:idx val="2"/>
              <c:tx>
                <c:rich>
                  <a:bodyPr/>
                  <a:lstStyle/>
                  <a:p>
                    <a:r>
                      <a:rPr lang="en-US"/>
                      <a:t>CD</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674-48BE-9379-F7E5ED674FB4}"/>
                </c:ext>
                <c:ext xmlns:c15="http://schemas.microsoft.com/office/drawing/2012/chart" uri="{CE6537A1-D6FC-4f65-9D91-7224C49458BB}"/>
              </c:extLst>
            </c:dLbl>
            <c:dLbl>
              <c:idx val="3"/>
              <c:tx>
                <c:rich>
                  <a:bodyPr/>
                  <a:lstStyle/>
                  <a:p>
                    <a:r>
                      <a:rPr lang="en-US"/>
                      <a:t>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674-48BE-9379-F7E5ED674FB4}"/>
                </c:ext>
                <c:ext xmlns:c15="http://schemas.microsoft.com/office/drawing/2012/chart" uri="{CE6537A1-D6FC-4f65-9D91-7224C49458BB}"/>
              </c:extLst>
            </c:dLbl>
            <c:dLbl>
              <c:idx val="4"/>
              <c:tx>
                <c:rich>
                  <a:bodyPr/>
                  <a:lstStyle/>
                  <a:p>
                    <a:r>
                      <a:rPr lang="en-US"/>
                      <a:t>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674-48BE-9379-F7E5ED674F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graphs!$B$3:$B$7</c:f>
              <c:strCache>
                <c:ptCount val="5"/>
                <c:pt idx="0">
                  <c:v>Control</c:v>
                </c:pt>
                <c:pt idx="1">
                  <c:v>Winter Peas</c:v>
                </c:pt>
                <c:pt idx="2">
                  <c:v>Bell Beans</c:v>
                </c:pt>
                <c:pt idx="3">
                  <c:v>Mustard</c:v>
                </c:pt>
                <c:pt idx="4">
                  <c:v>Radish</c:v>
                </c:pt>
              </c:strCache>
            </c:strRef>
          </c:cat>
          <c:val>
            <c:numRef>
              <c:f>graphs!$C$3:$C$7</c:f>
              <c:numCache>
                <c:formatCode>General</c:formatCode>
                <c:ptCount val="5"/>
                <c:pt idx="0">
                  <c:v>27.78</c:v>
                </c:pt>
                <c:pt idx="1">
                  <c:v>42</c:v>
                </c:pt>
                <c:pt idx="2">
                  <c:v>44</c:v>
                </c:pt>
                <c:pt idx="3">
                  <c:v>51.556699999999999</c:v>
                </c:pt>
                <c:pt idx="4">
                  <c:v>74.11</c:v>
                </c:pt>
              </c:numCache>
            </c:numRef>
          </c:val>
          <c:extLst xmlns:c16r2="http://schemas.microsoft.com/office/drawing/2015/06/chart">
            <c:ext xmlns:c16="http://schemas.microsoft.com/office/drawing/2014/chart" uri="{C3380CC4-5D6E-409C-BE32-E72D297353CC}">
              <c16:uniqueId val="{00000005-5674-48BE-9379-F7E5ED674FB4}"/>
            </c:ext>
          </c:extLst>
        </c:ser>
        <c:ser>
          <c:idx val="1"/>
          <c:order val="1"/>
          <c:tx>
            <c:strRef>
              <c:f>graphs!$D$2</c:f>
              <c:strCache>
                <c:ptCount val="1"/>
                <c:pt idx="0">
                  <c:v>2015</c:v>
                </c:pt>
              </c:strCache>
            </c:strRef>
          </c:tx>
          <c:spPr>
            <a:solidFill>
              <a:schemeClr val="tx1">
                <a:lumMod val="75000"/>
                <a:lumOff val="25000"/>
              </a:schemeClr>
            </a:solidFill>
            <a:ln>
              <a:noFill/>
            </a:ln>
            <a:effectLst/>
          </c:spPr>
          <c:invertIfNegative val="0"/>
          <c:dLbls>
            <c:dLbl>
              <c:idx val="0"/>
              <c:tx>
                <c:rich>
                  <a:bodyPr/>
                  <a:lstStyle/>
                  <a:p>
                    <a:r>
                      <a:rPr lang="en-US"/>
                      <a:t>DE</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674-48BE-9379-F7E5ED674FB4}"/>
                </c:ext>
                <c:ext xmlns:c15="http://schemas.microsoft.com/office/drawing/2012/chart" uri="{CE6537A1-D6FC-4f65-9D91-7224C49458BB}"/>
              </c:extLst>
            </c:dLbl>
            <c:dLbl>
              <c:idx val="1"/>
              <c:tx>
                <c:rich>
                  <a:bodyPr/>
                  <a:lstStyle/>
                  <a:p>
                    <a:r>
                      <a:rPr lang="en-US"/>
                      <a:t>DE</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674-48BE-9379-F7E5ED674FB4}"/>
                </c:ext>
                <c:ext xmlns:c15="http://schemas.microsoft.com/office/drawing/2012/chart" uri="{CE6537A1-D6FC-4f65-9D91-7224C49458BB}"/>
              </c:extLst>
            </c:dLbl>
            <c:dLbl>
              <c:idx val="2"/>
              <c:tx>
                <c:rich>
                  <a:bodyPr/>
                  <a:lstStyle/>
                  <a:p>
                    <a:r>
                      <a:rPr lang="en-US"/>
                      <a:t>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674-48BE-9379-F7E5ED674FB4}"/>
                </c:ext>
                <c:ext xmlns:c15="http://schemas.microsoft.com/office/drawing/2012/chart" uri="{CE6537A1-D6FC-4f65-9D91-7224C49458BB}"/>
              </c:extLst>
            </c:dLbl>
            <c:dLbl>
              <c:idx val="3"/>
              <c:tx>
                <c:rich>
                  <a:bodyPr/>
                  <a:lstStyle/>
                  <a:p>
                    <a:r>
                      <a:rPr lang="en-US"/>
                      <a:t>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674-48BE-9379-F7E5ED674FB4}"/>
                </c:ext>
                <c:ext xmlns:c15="http://schemas.microsoft.com/office/drawing/2012/chart" uri="{CE6537A1-D6FC-4f65-9D91-7224C49458BB}"/>
              </c:extLst>
            </c:dLbl>
            <c:dLbl>
              <c:idx val="4"/>
              <c:tx>
                <c:rich>
                  <a:bodyPr/>
                  <a:lstStyle/>
                  <a:p>
                    <a:r>
                      <a:rPr lang="en-US"/>
                      <a:t>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674-48BE-9379-F7E5ED674F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graphs!$B$3:$B$7</c:f>
              <c:strCache>
                <c:ptCount val="5"/>
                <c:pt idx="0">
                  <c:v>Control</c:v>
                </c:pt>
                <c:pt idx="1">
                  <c:v>Winter Peas</c:v>
                </c:pt>
                <c:pt idx="2">
                  <c:v>Bell Beans</c:v>
                </c:pt>
                <c:pt idx="3">
                  <c:v>Mustard</c:v>
                </c:pt>
                <c:pt idx="4">
                  <c:v>Radish</c:v>
                </c:pt>
              </c:strCache>
            </c:strRef>
          </c:cat>
          <c:val>
            <c:numRef>
              <c:f>graphs!$D$3:$D$7</c:f>
              <c:numCache>
                <c:formatCode>General</c:formatCode>
                <c:ptCount val="5"/>
                <c:pt idx="0">
                  <c:v>35.666699999999999</c:v>
                </c:pt>
                <c:pt idx="1">
                  <c:v>39</c:v>
                </c:pt>
                <c:pt idx="2">
                  <c:v>75</c:v>
                </c:pt>
                <c:pt idx="3">
                  <c:v>81</c:v>
                </c:pt>
                <c:pt idx="4">
                  <c:v>105</c:v>
                </c:pt>
              </c:numCache>
            </c:numRef>
          </c:val>
          <c:extLst xmlns:c16r2="http://schemas.microsoft.com/office/drawing/2015/06/chart">
            <c:ext xmlns:c16="http://schemas.microsoft.com/office/drawing/2014/chart" uri="{C3380CC4-5D6E-409C-BE32-E72D297353CC}">
              <c16:uniqueId val="{0000000B-5674-48BE-9379-F7E5ED674FB4}"/>
            </c:ext>
          </c:extLst>
        </c:ser>
        <c:dLbls>
          <c:dLblPos val="outEnd"/>
          <c:showLegendKey val="0"/>
          <c:showVal val="1"/>
          <c:showCatName val="0"/>
          <c:showSerName val="0"/>
          <c:showPercent val="0"/>
          <c:showBubbleSize val="0"/>
        </c:dLbls>
        <c:gapWidth val="219"/>
        <c:overlap val="-27"/>
        <c:axId val="581184576"/>
        <c:axId val="581181832"/>
      </c:barChart>
      <c:catAx>
        <c:axId val="581184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Cover Crop Treatment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1181832"/>
        <c:crosses val="autoZero"/>
        <c:auto val="1"/>
        <c:lblAlgn val="ctr"/>
        <c:lblOffset val="100"/>
        <c:noMultiLvlLbl val="0"/>
      </c:catAx>
      <c:valAx>
        <c:axId val="581181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Cover Crop Height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1184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Graphs!$F$1</c:f>
              <c:strCache>
                <c:ptCount val="1"/>
                <c:pt idx="0">
                  <c:v>C</c:v>
                </c:pt>
              </c:strCache>
            </c:strRef>
          </c:tx>
          <c:spPr>
            <a:ln w="25400" cap="rnd">
              <a:noFill/>
              <a:round/>
            </a:ln>
            <a:effectLst/>
          </c:spPr>
          <c:marker>
            <c:symbol val="circ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linear"/>
            <c:dispRSqr val="0"/>
            <c:dispEq val="0"/>
          </c:trendline>
          <c:trendline>
            <c:spPr>
              <a:ln w="19050" cap="rnd">
                <a:solidFill>
                  <a:schemeClr val="dk1">
                    <a:tint val="88500"/>
                  </a:schemeClr>
                </a:solidFill>
                <a:prstDash val="sysDot"/>
              </a:ln>
              <a:effectLst/>
            </c:spPr>
            <c:trendlineType val="linear"/>
            <c:dispRSqr val="1"/>
            <c:dispEq val="1"/>
            <c:trendlineLbl>
              <c:layout>
                <c:manualLayout>
                  <c:x val="0.12802384076990375"/>
                  <c:y val="-0.14570392242636337"/>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R² = 0.4582</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Graphs!$F$2:$F$31</c:f>
              <c:numCache>
                <c:formatCode>0.00</c:formatCode>
                <c:ptCount val="30"/>
                <c:pt idx="0">
                  <c:v>37.520000000000003</c:v>
                </c:pt>
                <c:pt idx="1">
                  <c:v>39.826666666666661</c:v>
                </c:pt>
                <c:pt idx="2">
                  <c:v>38.33</c:v>
                </c:pt>
                <c:pt idx="3">
                  <c:v>37.973333333333336</c:v>
                </c:pt>
                <c:pt idx="4">
                  <c:v>38.913333333333334</c:v>
                </c:pt>
                <c:pt idx="5">
                  <c:v>39.140000000000008</c:v>
                </c:pt>
                <c:pt idx="6">
                  <c:v>38.68</c:v>
                </c:pt>
                <c:pt idx="7">
                  <c:v>38.813333333333333</c:v>
                </c:pt>
                <c:pt idx="8">
                  <c:v>38.986666666666672</c:v>
                </c:pt>
                <c:pt idx="9">
                  <c:v>36.123333333333335</c:v>
                </c:pt>
                <c:pt idx="10">
                  <c:v>37.326666666666668</c:v>
                </c:pt>
                <c:pt idx="11">
                  <c:v>37.343333333333334</c:v>
                </c:pt>
                <c:pt idx="12">
                  <c:v>33.49</c:v>
                </c:pt>
                <c:pt idx="13">
                  <c:v>36.926666666666669</c:v>
                </c:pt>
                <c:pt idx="14">
                  <c:v>36.153333333333336</c:v>
                </c:pt>
                <c:pt idx="15">
                  <c:v>41.76</c:v>
                </c:pt>
                <c:pt idx="16">
                  <c:v>39.5</c:v>
                </c:pt>
                <c:pt idx="17">
                  <c:v>35.93</c:v>
                </c:pt>
                <c:pt idx="18">
                  <c:v>42.91</c:v>
                </c:pt>
                <c:pt idx="19">
                  <c:v>43.86</c:v>
                </c:pt>
                <c:pt idx="20">
                  <c:v>44.25</c:v>
                </c:pt>
                <c:pt idx="21">
                  <c:v>43</c:v>
                </c:pt>
                <c:pt idx="22">
                  <c:v>43.5</c:v>
                </c:pt>
                <c:pt idx="23">
                  <c:v>43.82</c:v>
                </c:pt>
                <c:pt idx="24">
                  <c:v>41.56</c:v>
                </c:pt>
                <c:pt idx="25">
                  <c:v>41.41</c:v>
                </c:pt>
                <c:pt idx="26">
                  <c:v>41.26</c:v>
                </c:pt>
                <c:pt idx="27">
                  <c:v>40.96</c:v>
                </c:pt>
                <c:pt idx="28">
                  <c:v>41.6</c:v>
                </c:pt>
                <c:pt idx="29">
                  <c:v>42.22</c:v>
                </c:pt>
              </c:numCache>
            </c:numRef>
          </c:xVal>
          <c:yVal>
            <c:numRef>
              <c:f>Graphs!$I$2:$I$31</c:f>
              <c:numCache>
                <c:formatCode>0.00</c:formatCode>
                <c:ptCount val="30"/>
                <c:pt idx="0">
                  <c:v>30.266666666666666</c:v>
                </c:pt>
                <c:pt idx="1">
                  <c:v>55.133333333333333</c:v>
                </c:pt>
                <c:pt idx="2">
                  <c:v>82.733333333333334</c:v>
                </c:pt>
                <c:pt idx="3">
                  <c:v>235.06666666666669</c:v>
                </c:pt>
                <c:pt idx="4">
                  <c:v>305.2</c:v>
                </c:pt>
                <c:pt idx="5">
                  <c:v>311.5333333333333</c:v>
                </c:pt>
                <c:pt idx="6">
                  <c:v>108.19999999999999</c:v>
                </c:pt>
                <c:pt idx="7">
                  <c:v>194.6</c:v>
                </c:pt>
                <c:pt idx="8">
                  <c:v>124.40000000000002</c:v>
                </c:pt>
                <c:pt idx="9">
                  <c:v>51.6</c:v>
                </c:pt>
                <c:pt idx="10">
                  <c:v>168.79999999999998</c:v>
                </c:pt>
                <c:pt idx="11">
                  <c:v>66.2</c:v>
                </c:pt>
                <c:pt idx="12">
                  <c:v>115.46666666666665</c:v>
                </c:pt>
                <c:pt idx="13">
                  <c:v>127.46666666666668</c:v>
                </c:pt>
                <c:pt idx="14">
                  <c:v>84.333333333333329</c:v>
                </c:pt>
                <c:pt idx="15">
                  <c:v>256</c:v>
                </c:pt>
                <c:pt idx="16">
                  <c:v>244</c:v>
                </c:pt>
                <c:pt idx="17">
                  <c:v>216</c:v>
                </c:pt>
                <c:pt idx="18">
                  <c:v>356</c:v>
                </c:pt>
                <c:pt idx="19">
                  <c:v>294</c:v>
                </c:pt>
                <c:pt idx="20">
                  <c:v>222</c:v>
                </c:pt>
                <c:pt idx="21">
                  <c:v>382</c:v>
                </c:pt>
                <c:pt idx="22">
                  <c:v>316</c:v>
                </c:pt>
                <c:pt idx="23">
                  <c:v>340</c:v>
                </c:pt>
                <c:pt idx="24">
                  <c:v>360</c:v>
                </c:pt>
                <c:pt idx="25">
                  <c:v>446</c:v>
                </c:pt>
                <c:pt idx="26">
                  <c:v>466</c:v>
                </c:pt>
                <c:pt idx="27">
                  <c:v>476</c:v>
                </c:pt>
                <c:pt idx="28">
                  <c:v>334</c:v>
                </c:pt>
                <c:pt idx="29">
                  <c:v>374</c:v>
                </c:pt>
              </c:numCache>
            </c:numRef>
          </c:yVal>
          <c:smooth val="0"/>
          <c:extLst xmlns:c16r2="http://schemas.microsoft.com/office/drawing/2015/06/chart">
            <c:ext xmlns:c16="http://schemas.microsoft.com/office/drawing/2014/chart" uri="{C3380CC4-5D6E-409C-BE32-E72D297353CC}">
              <c16:uniqueId val="{00000000-2389-4C18-B474-0D2D466D5B25}"/>
            </c:ext>
          </c:extLst>
        </c:ser>
        <c:dLbls>
          <c:showLegendKey val="0"/>
          <c:showVal val="0"/>
          <c:showCatName val="0"/>
          <c:showSerName val="0"/>
          <c:showPercent val="0"/>
          <c:showBubbleSize val="0"/>
        </c:dLbls>
        <c:axId val="249055680"/>
        <c:axId val="515115808"/>
      </c:scatterChart>
      <c:valAx>
        <c:axId val="249055680"/>
        <c:scaling>
          <c:orientation val="minMax"/>
          <c:min val="3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Cover Crop Tissue 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5115808"/>
        <c:crosses val="autoZero"/>
        <c:crossBetween val="midCat"/>
      </c:valAx>
      <c:valAx>
        <c:axId val="515115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Biomass (g/m2)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90556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Sheet1!$B$3</c:f>
              <c:strCache>
                <c:ptCount val="1"/>
                <c:pt idx="0">
                  <c:v>Control</c:v>
                </c:pt>
              </c:strCache>
            </c:strRef>
          </c:tx>
          <c:spPr>
            <a:solidFill>
              <a:schemeClr val="dk1">
                <a:tint val="88500"/>
              </a:schemeClr>
            </a:solidFill>
            <a:ln>
              <a:noFill/>
            </a:ln>
            <a:effectLst/>
          </c:spPr>
          <c:invertIfNegative val="0"/>
          <c:dLbls>
            <c:dLbl>
              <c:idx val="0"/>
              <c:tx>
                <c:rich>
                  <a:bodyPr/>
                  <a:lstStyle/>
                  <a:p>
                    <a:r>
                      <a:rPr lang="en-US"/>
                      <a:t>EFGH</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CD3-4C94-A531-980CEDC41350}"/>
                </c:ext>
                <c:ext xmlns:c15="http://schemas.microsoft.com/office/drawing/2012/chart" uri="{CE6537A1-D6FC-4f65-9D91-7224C49458BB}"/>
              </c:extLst>
            </c:dLbl>
            <c:dLbl>
              <c:idx val="1"/>
              <c:tx>
                <c:rich>
                  <a:bodyPr/>
                  <a:lstStyle/>
                  <a:p>
                    <a:r>
                      <a:rPr lang="en-US"/>
                      <a:t>FGHI</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CD3-4C94-A531-980CEDC41350}"/>
                </c:ext>
                <c:ext xmlns:c15="http://schemas.microsoft.com/office/drawing/2012/chart" uri="{CE6537A1-D6FC-4f65-9D91-7224C49458BB}"/>
              </c:extLst>
            </c:dLbl>
            <c:dLbl>
              <c:idx val="2"/>
              <c:tx>
                <c:rich>
                  <a:bodyPr/>
                  <a:lstStyle/>
                  <a:p>
                    <a:r>
                      <a:rPr lang="en-US"/>
                      <a:t>DEFGH</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CD3-4C94-A531-980CEDC41350}"/>
                </c:ext>
                <c:ext xmlns:c15="http://schemas.microsoft.com/office/drawing/2012/chart" uri="{CE6537A1-D6FC-4f65-9D91-7224C49458BB}"/>
              </c:extLst>
            </c:dLbl>
            <c:dLbl>
              <c:idx val="3"/>
              <c:tx>
                <c:rich>
                  <a:bodyPr/>
                  <a:lstStyle/>
                  <a:p>
                    <a:r>
                      <a:rPr lang="en-US"/>
                      <a:t>DEFGH</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CD3-4C94-A531-980CEDC4135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(Sheet1!$C$2,Sheet1!$G$2,Sheet1!$K$2,Sheet1!$O$2)</c:f>
              <c:strCache>
                <c:ptCount val="4"/>
                <c:pt idx="0">
                  <c:v>2014-Mar</c:v>
                </c:pt>
                <c:pt idx="1">
                  <c:v>2014-Apr</c:v>
                </c:pt>
                <c:pt idx="2">
                  <c:v>2015-Mar</c:v>
                </c:pt>
                <c:pt idx="3">
                  <c:v>2015-Apr</c:v>
                </c:pt>
              </c:strCache>
            </c:strRef>
          </c:cat>
          <c:val>
            <c:numRef>
              <c:f>(Sheet1!$C$3,Sheet1!$G$3,Sheet1!$K$3,Sheet1!$O$3)</c:f>
              <c:numCache>
                <c:formatCode>0.0000</c:formatCode>
                <c:ptCount val="4"/>
                <c:pt idx="0">
                  <c:v>10.578900000000001</c:v>
                </c:pt>
                <c:pt idx="1">
                  <c:v>10.1989</c:v>
                </c:pt>
                <c:pt idx="2">
                  <c:v>10.657766666666999</c:v>
                </c:pt>
                <c:pt idx="3">
                  <c:v>10.608866666667</c:v>
                </c:pt>
              </c:numCache>
            </c:numRef>
          </c:val>
          <c:extLst xmlns:c16r2="http://schemas.microsoft.com/office/drawing/2015/06/chart">
            <c:ext xmlns:c16="http://schemas.microsoft.com/office/drawing/2014/chart" uri="{C3380CC4-5D6E-409C-BE32-E72D297353CC}">
              <c16:uniqueId val="{00000004-4CD3-4C94-A531-980CEDC41350}"/>
            </c:ext>
          </c:extLst>
        </c:ser>
        <c:ser>
          <c:idx val="1"/>
          <c:order val="1"/>
          <c:tx>
            <c:strRef>
              <c:f>Sheet1!$B$4</c:f>
              <c:strCache>
                <c:ptCount val="1"/>
                <c:pt idx="0">
                  <c:v>Winter Peas</c:v>
                </c:pt>
              </c:strCache>
            </c:strRef>
          </c:tx>
          <c:spPr>
            <a:solidFill>
              <a:schemeClr val="dk1">
                <a:tint val="55000"/>
              </a:schemeClr>
            </a:solidFill>
            <a:ln>
              <a:noFill/>
            </a:ln>
            <a:effectLst/>
          </c:spPr>
          <c:invertIfNegative val="0"/>
          <c:dLbls>
            <c:dLbl>
              <c:idx val="0"/>
              <c:tx>
                <c:rich>
                  <a:bodyPr/>
                  <a:lstStyle/>
                  <a:p>
                    <a:r>
                      <a:rPr lang="en-US"/>
                      <a:t>EFGH</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CD3-4C94-A531-980CEDC41350}"/>
                </c:ext>
                <c:ext xmlns:c15="http://schemas.microsoft.com/office/drawing/2012/chart" uri="{CE6537A1-D6FC-4f65-9D91-7224C49458BB}"/>
              </c:extLst>
            </c:dLbl>
            <c:dLbl>
              <c:idx val="1"/>
              <c:tx>
                <c:rich>
                  <a:bodyPr/>
                  <a:lstStyle/>
                  <a:p>
                    <a:r>
                      <a:rPr lang="en-US"/>
                      <a:t>I</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CD3-4C94-A531-980CEDC41350}"/>
                </c:ext>
                <c:ext xmlns:c15="http://schemas.microsoft.com/office/drawing/2012/chart" uri="{CE6537A1-D6FC-4f65-9D91-7224C49458BB}"/>
              </c:extLst>
            </c:dLbl>
            <c:dLbl>
              <c:idx val="2"/>
              <c:tx>
                <c:rich>
                  <a:bodyPr/>
                  <a:lstStyle/>
                  <a:p>
                    <a:r>
                      <a:rPr lang="en-US"/>
                      <a:t>BC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CD3-4C94-A531-980CEDC41350}"/>
                </c:ext>
                <c:ext xmlns:c15="http://schemas.microsoft.com/office/drawing/2012/chart" uri="{CE6537A1-D6FC-4f65-9D91-7224C49458BB}"/>
              </c:extLst>
            </c:dLbl>
            <c:dLbl>
              <c:idx val="3"/>
              <c:tx>
                <c:rich>
                  <a:bodyPr/>
                  <a:lstStyle/>
                  <a:p>
                    <a:r>
                      <a:rPr lang="en-US"/>
                      <a:t>I</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CD3-4C94-A531-980CEDC4135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(Sheet1!$C$2,Sheet1!$G$2,Sheet1!$K$2,Sheet1!$O$2)</c:f>
              <c:strCache>
                <c:ptCount val="4"/>
                <c:pt idx="0">
                  <c:v>2014-Mar</c:v>
                </c:pt>
                <c:pt idx="1">
                  <c:v>2014-Apr</c:v>
                </c:pt>
                <c:pt idx="2">
                  <c:v>2015-Mar</c:v>
                </c:pt>
                <c:pt idx="3">
                  <c:v>2015-Apr</c:v>
                </c:pt>
              </c:strCache>
            </c:strRef>
          </c:cat>
          <c:val>
            <c:numRef>
              <c:f>(Sheet1!$C$4,Sheet1!$G$4,Sheet1!$K$4,Sheet1!$O$4)</c:f>
              <c:numCache>
                <c:formatCode>0.0000</c:formatCode>
                <c:ptCount val="4"/>
                <c:pt idx="0">
                  <c:v>10.493333333333</c:v>
                </c:pt>
                <c:pt idx="1">
                  <c:v>9.6033000000000008</c:v>
                </c:pt>
                <c:pt idx="2">
                  <c:v>11.5633</c:v>
                </c:pt>
                <c:pt idx="3">
                  <c:v>9.6233333333332993</c:v>
                </c:pt>
              </c:numCache>
            </c:numRef>
          </c:val>
          <c:extLst xmlns:c16r2="http://schemas.microsoft.com/office/drawing/2015/06/chart">
            <c:ext xmlns:c16="http://schemas.microsoft.com/office/drawing/2014/chart" uri="{C3380CC4-5D6E-409C-BE32-E72D297353CC}">
              <c16:uniqueId val="{00000009-4CD3-4C94-A531-980CEDC41350}"/>
            </c:ext>
          </c:extLst>
        </c:ser>
        <c:ser>
          <c:idx val="2"/>
          <c:order val="2"/>
          <c:tx>
            <c:strRef>
              <c:f>Sheet1!$B$5</c:f>
              <c:strCache>
                <c:ptCount val="1"/>
                <c:pt idx="0">
                  <c:v>Bell Beans</c:v>
                </c:pt>
              </c:strCache>
            </c:strRef>
          </c:tx>
          <c:spPr>
            <a:solidFill>
              <a:schemeClr val="dk1">
                <a:tint val="75000"/>
              </a:schemeClr>
            </a:solidFill>
            <a:ln>
              <a:noFill/>
            </a:ln>
            <a:effectLst/>
          </c:spPr>
          <c:invertIfNegative val="0"/>
          <c:dLbls>
            <c:dLbl>
              <c:idx val="0"/>
              <c:tx>
                <c:rich>
                  <a:bodyPr/>
                  <a:lstStyle/>
                  <a:p>
                    <a:r>
                      <a:rPr lang="en-US"/>
                      <a:t>CDE</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CD3-4C94-A531-980CEDC41350}"/>
                </c:ext>
                <c:ext xmlns:c15="http://schemas.microsoft.com/office/drawing/2012/chart" uri="{CE6537A1-D6FC-4f65-9D91-7224C49458BB}"/>
              </c:extLst>
            </c:dLbl>
            <c:dLbl>
              <c:idx val="1"/>
              <c:tx>
                <c:rich>
                  <a:bodyPr/>
                  <a:lstStyle/>
                  <a:p>
                    <a:r>
                      <a:rPr lang="en-US"/>
                      <a:t>GHI</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CD3-4C94-A531-980CEDC41350}"/>
                </c:ext>
                <c:ext xmlns:c15="http://schemas.microsoft.com/office/drawing/2012/chart" uri="{CE6537A1-D6FC-4f65-9D91-7224C49458BB}"/>
              </c:extLst>
            </c:dLbl>
            <c:dLbl>
              <c:idx val="2"/>
              <c:tx>
                <c:rich>
                  <a:bodyPr/>
                  <a:lstStyle/>
                  <a:p>
                    <a:r>
                      <a:rPr lang="en-US"/>
                      <a:t>AB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CD3-4C94-A531-980CEDC41350}"/>
                </c:ext>
                <c:ext xmlns:c15="http://schemas.microsoft.com/office/drawing/2012/chart" uri="{CE6537A1-D6FC-4f65-9D91-7224C49458BB}"/>
              </c:extLst>
            </c:dLbl>
            <c:dLbl>
              <c:idx val="3"/>
              <c:tx>
                <c:rich>
                  <a:bodyPr/>
                  <a:lstStyle/>
                  <a:p>
                    <a:r>
                      <a:rPr lang="en-US"/>
                      <a:t>HI</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CD3-4C94-A531-980CEDC4135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(Sheet1!$C$2,Sheet1!$G$2,Sheet1!$K$2,Sheet1!$O$2)</c:f>
              <c:strCache>
                <c:ptCount val="4"/>
                <c:pt idx="0">
                  <c:v>2014-Mar</c:v>
                </c:pt>
                <c:pt idx="1">
                  <c:v>2014-Apr</c:v>
                </c:pt>
                <c:pt idx="2">
                  <c:v>2015-Mar</c:v>
                </c:pt>
                <c:pt idx="3">
                  <c:v>2015-Apr</c:v>
                </c:pt>
              </c:strCache>
            </c:strRef>
          </c:cat>
          <c:val>
            <c:numRef>
              <c:f>(Sheet1!$C$5,Sheet1!$G$5,Sheet1!$K$5,Sheet1!$O$5)</c:f>
              <c:numCache>
                <c:formatCode>0.0000</c:formatCode>
                <c:ptCount val="4"/>
                <c:pt idx="0">
                  <c:v>11.037766666667</c:v>
                </c:pt>
                <c:pt idx="1">
                  <c:v>10.171099999999999</c:v>
                </c:pt>
                <c:pt idx="2">
                  <c:v>12.035566666667</c:v>
                </c:pt>
                <c:pt idx="3">
                  <c:v>9.8888999999999996</c:v>
                </c:pt>
              </c:numCache>
            </c:numRef>
          </c:val>
          <c:extLst xmlns:c16r2="http://schemas.microsoft.com/office/drawing/2015/06/chart">
            <c:ext xmlns:c16="http://schemas.microsoft.com/office/drawing/2014/chart" uri="{C3380CC4-5D6E-409C-BE32-E72D297353CC}">
              <c16:uniqueId val="{0000000E-4CD3-4C94-A531-980CEDC41350}"/>
            </c:ext>
          </c:extLst>
        </c:ser>
        <c:ser>
          <c:idx val="3"/>
          <c:order val="3"/>
          <c:tx>
            <c:strRef>
              <c:f>Sheet1!$B$6</c:f>
              <c:strCache>
                <c:ptCount val="1"/>
                <c:pt idx="0">
                  <c:v>Mustard</c:v>
                </c:pt>
              </c:strCache>
            </c:strRef>
          </c:tx>
          <c:spPr>
            <a:solidFill>
              <a:schemeClr val="dk1">
                <a:tint val="98500"/>
              </a:schemeClr>
            </a:solidFill>
            <a:ln>
              <a:noFill/>
            </a:ln>
            <a:effectLst/>
          </c:spPr>
          <c:invertIfNegative val="0"/>
          <c:dLbls>
            <c:dLbl>
              <c:idx val="0"/>
              <c:tx>
                <c:rich>
                  <a:bodyPr/>
                  <a:lstStyle/>
                  <a:p>
                    <a:r>
                      <a:rPr lang="en-US"/>
                      <a:t>CDEFG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CD3-4C94-A531-980CEDC41350}"/>
                </c:ext>
                <c:ext xmlns:c15="http://schemas.microsoft.com/office/drawing/2012/chart" uri="{CE6537A1-D6FC-4f65-9D91-7224C49458BB}"/>
              </c:extLst>
            </c:dLbl>
            <c:dLbl>
              <c:idx val="1"/>
              <c:tx>
                <c:rich>
                  <a:bodyPr/>
                  <a:lstStyle/>
                  <a:p>
                    <a:r>
                      <a:rPr lang="en-US"/>
                      <a:t>DEFGH</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CD3-4C94-A531-980CEDC41350}"/>
                </c:ext>
                <c:ext xmlns:c15="http://schemas.microsoft.com/office/drawing/2012/chart" uri="{CE6537A1-D6FC-4f65-9D91-7224C49458BB}"/>
              </c:extLst>
            </c:dLbl>
            <c:dLbl>
              <c:idx val="2"/>
              <c:tx>
                <c:rich>
                  <a:bodyPr/>
                  <a:lstStyle/>
                  <a:p>
                    <a:r>
                      <a:rPr lang="en-US"/>
                      <a:t>BCD</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CD3-4C94-A531-980CEDC41350}"/>
                </c:ext>
                <c:ext xmlns:c15="http://schemas.microsoft.com/office/drawing/2012/chart" uri="{CE6537A1-D6FC-4f65-9D91-7224C49458BB}"/>
              </c:extLst>
            </c:dLbl>
            <c:dLbl>
              <c:idx val="3"/>
              <c:tx>
                <c:rich>
                  <a:bodyPr/>
                  <a:lstStyle/>
                  <a:p>
                    <a:r>
                      <a:rPr lang="en-US"/>
                      <a:t>DEFGH</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CD3-4C94-A531-980CEDC4135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(Sheet1!$C$2,Sheet1!$G$2,Sheet1!$K$2,Sheet1!$O$2)</c:f>
              <c:strCache>
                <c:ptCount val="4"/>
                <c:pt idx="0">
                  <c:v>2014-Mar</c:v>
                </c:pt>
                <c:pt idx="1">
                  <c:v>2014-Apr</c:v>
                </c:pt>
                <c:pt idx="2">
                  <c:v>2015-Mar</c:v>
                </c:pt>
                <c:pt idx="3">
                  <c:v>2015-Apr</c:v>
                </c:pt>
              </c:strCache>
            </c:strRef>
          </c:cat>
          <c:val>
            <c:numRef>
              <c:f>(Sheet1!$C$6,Sheet1!$G$6,Sheet1!$K$6,Sheet1!$O$6)</c:f>
              <c:numCache>
                <c:formatCode>0.0000</c:formatCode>
                <c:ptCount val="4"/>
                <c:pt idx="0">
                  <c:v>10.8811</c:v>
                </c:pt>
                <c:pt idx="1">
                  <c:v>10.675566666667001</c:v>
                </c:pt>
                <c:pt idx="2">
                  <c:v>11.424466666667</c:v>
                </c:pt>
                <c:pt idx="3">
                  <c:v>10.632233333333</c:v>
                </c:pt>
              </c:numCache>
            </c:numRef>
          </c:val>
          <c:extLst xmlns:c16r2="http://schemas.microsoft.com/office/drawing/2015/06/chart">
            <c:ext xmlns:c16="http://schemas.microsoft.com/office/drawing/2014/chart" uri="{C3380CC4-5D6E-409C-BE32-E72D297353CC}">
              <c16:uniqueId val="{00000013-4CD3-4C94-A531-980CEDC41350}"/>
            </c:ext>
          </c:extLst>
        </c:ser>
        <c:ser>
          <c:idx val="4"/>
          <c:order val="4"/>
          <c:tx>
            <c:strRef>
              <c:f>Sheet1!$B$7</c:f>
              <c:strCache>
                <c:ptCount val="1"/>
                <c:pt idx="0">
                  <c:v>Radish</c:v>
                </c:pt>
              </c:strCache>
            </c:strRef>
          </c:tx>
          <c:spPr>
            <a:solidFill>
              <a:schemeClr val="dk1">
                <a:tint val="30000"/>
              </a:schemeClr>
            </a:solidFill>
            <a:ln>
              <a:noFill/>
            </a:ln>
            <a:effectLst/>
          </c:spPr>
          <c:invertIfNegative val="0"/>
          <c:dLbls>
            <c:dLbl>
              <c:idx val="0"/>
              <c:tx>
                <c:rich>
                  <a:bodyPr/>
                  <a:lstStyle/>
                  <a:p>
                    <a:r>
                      <a:rPr lang="en-US"/>
                      <a:t>CDEFG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4CD3-4C94-A531-980CEDC41350}"/>
                </c:ext>
                <c:ext xmlns:c15="http://schemas.microsoft.com/office/drawing/2012/chart" uri="{CE6537A1-D6FC-4f65-9D91-7224C49458BB}"/>
              </c:extLst>
            </c:dLbl>
            <c:dLbl>
              <c:idx val="1"/>
              <c:tx>
                <c:rich>
                  <a:bodyPr/>
                  <a:lstStyle/>
                  <a:p>
                    <a:r>
                      <a:rPr lang="en-US"/>
                      <a:t>CDEF</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4CD3-4C94-A531-980CEDC41350}"/>
                </c:ext>
                <c:ext xmlns:c15="http://schemas.microsoft.com/office/drawing/2012/chart" uri="{CE6537A1-D6FC-4f65-9D91-7224C49458BB}"/>
              </c:extLst>
            </c:dLbl>
            <c:dLbl>
              <c:idx val="2"/>
              <c:tx>
                <c:rich>
                  <a:bodyPr/>
                  <a:lstStyle/>
                  <a:p>
                    <a:r>
                      <a:rPr lang="en-US"/>
                      <a:t>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4CD3-4C94-A531-980CEDC41350}"/>
                </c:ext>
                <c:ext xmlns:c15="http://schemas.microsoft.com/office/drawing/2012/chart" uri="{CE6537A1-D6FC-4f65-9D91-7224C49458BB}"/>
              </c:extLst>
            </c:dLbl>
            <c:dLbl>
              <c:idx val="3"/>
              <c:tx>
                <c:rich>
                  <a:bodyPr/>
                  <a:lstStyle/>
                  <a:p>
                    <a:r>
                      <a:rPr lang="en-US"/>
                      <a:t>GHI</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4CD3-4C94-A531-980CEDC4135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(Sheet1!$C$2,Sheet1!$G$2,Sheet1!$K$2,Sheet1!$O$2)</c:f>
              <c:strCache>
                <c:ptCount val="4"/>
                <c:pt idx="0">
                  <c:v>2014-Mar</c:v>
                </c:pt>
                <c:pt idx="1">
                  <c:v>2014-Apr</c:v>
                </c:pt>
                <c:pt idx="2">
                  <c:v>2015-Mar</c:v>
                </c:pt>
                <c:pt idx="3">
                  <c:v>2015-Apr</c:v>
                </c:pt>
              </c:strCache>
            </c:strRef>
          </c:cat>
          <c:val>
            <c:numRef>
              <c:f>(Sheet1!$C$7,Sheet1!$G$7,Sheet1!$K$7,Sheet1!$O$7)</c:f>
              <c:numCache>
                <c:formatCode>0.0000</c:formatCode>
                <c:ptCount val="4"/>
                <c:pt idx="0">
                  <c:v>10.8111</c:v>
                </c:pt>
                <c:pt idx="1">
                  <c:v>11.006633333332999</c:v>
                </c:pt>
                <c:pt idx="2">
                  <c:v>12.399966666667</c:v>
                </c:pt>
                <c:pt idx="3">
                  <c:v>10.101100000000001</c:v>
                </c:pt>
              </c:numCache>
            </c:numRef>
          </c:val>
          <c:extLst xmlns:c16r2="http://schemas.microsoft.com/office/drawing/2015/06/chart">
            <c:ext xmlns:c16="http://schemas.microsoft.com/office/drawing/2014/chart" uri="{C3380CC4-5D6E-409C-BE32-E72D297353CC}">
              <c16:uniqueId val="{00000018-4CD3-4C94-A531-980CEDC41350}"/>
            </c:ext>
          </c:extLst>
        </c:ser>
        <c:dLbls>
          <c:dLblPos val="outEnd"/>
          <c:showLegendKey val="0"/>
          <c:showVal val="1"/>
          <c:showCatName val="0"/>
          <c:showSerName val="0"/>
          <c:showPercent val="0"/>
          <c:showBubbleSize val="0"/>
        </c:dLbls>
        <c:gapWidth val="150"/>
        <c:axId val="515118552"/>
        <c:axId val="515120120"/>
      </c:barChart>
      <c:catAx>
        <c:axId val="515118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Sampling 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5120120"/>
        <c:crosses val="autoZero"/>
        <c:auto val="1"/>
        <c:lblAlgn val="ctr"/>
        <c:lblOffset val="100"/>
        <c:noMultiLvlLbl val="0"/>
      </c:catAx>
      <c:valAx>
        <c:axId val="515120120"/>
        <c:scaling>
          <c:orientation val="minMax"/>
          <c:max val="12.5"/>
          <c:min val="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Soil C/N Ratio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5118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Graphs!$K$1</c:f>
              <c:strCache>
                <c:ptCount val="1"/>
                <c:pt idx="0">
                  <c:v>TotN</c:v>
                </c:pt>
              </c:strCache>
            </c:strRef>
          </c:tx>
          <c:spPr>
            <a:ln w="25400" cap="rnd">
              <a:noFill/>
              <a:round/>
            </a:ln>
            <a:effectLst/>
          </c:spPr>
          <c:marker>
            <c:symbol val="circ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linear"/>
            <c:dispRSqr val="0"/>
            <c:dispEq val="0"/>
          </c:trendline>
          <c:trendline>
            <c:spPr>
              <a:ln w="19050" cap="rnd">
                <a:solidFill>
                  <a:schemeClr val="dk1">
                    <a:tint val="88500"/>
                  </a:schemeClr>
                </a:solidFill>
                <a:prstDash val="sysDot"/>
              </a:ln>
              <a:effectLst/>
            </c:spPr>
            <c:trendlineType val="linear"/>
            <c:dispRSqr val="1"/>
            <c:dispEq val="1"/>
            <c:trendlineLbl>
              <c:layout>
                <c:manualLayout>
                  <c:x val="7.4320209973753285E-2"/>
                  <c:y val="-0.4676385243511228"/>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R² = 0.311</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Graphs!$L$2:$L$31</c:f>
              <c:numCache>
                <c:formatCode>0.00</c:formatCode>
                <c:ptCount val="30"/>
                <c:pt idx="0">
                  <c:v>0.73926666666666663</c:v>
                </c:pt>
                <c:pt idx="1">
                  <c:v>0.88786666666666658</c:v>
                </c:pt>
                <c:pt idx="2">
                  <c:v>1.2916666666666665</c:v>
                </c:pt>
                <c:pt idx="3">
                  <c:v>9.2317333333333327</c:v>
                </c:pt>
                <c:pt idx="4">
                  <c:v>12.293066666666666</c:v>
                </c:pt>
                <c:pt idx="5">
                  <c:v>11.095933333333335</c:v>
                </c:pt>
                <c:pt idx="6">
                  <c:v>3.9439333333333333</c:v>
                </c:pt>
                <c:pt idx="7">
                  <c:v>5.6800666666666659</c:v>
                </c:pt>
                <c:pt idx="8">
                  <c:v>4.1827333333333332</c:v>
                </c:pt>
                <c:pt idx="9">
                  <c:v>0.78026666666666655</c:v>
                </c:pt>
                <c:pt idx="10">
                  <c:v>2.6334666666666666</c:v>
                </c:pt>
                <c:pt idx="11">
                  <c:v>1.0708666666666666</c:v>
                </c:pt>
                <c:pt idx="12">
                  <c:v>1.6796</c:v>
                </c:pt>
                <c:pt idx="13">
                  <c:v>1.7568666666666666</c:v>
                </c:pt>
                <c:pt idx="14">
                  <c:v>1.0857333333333334</c:v>
                </c:pt>
                <c:pt idx="15">
                  <c:v>5.54</c:v>
                </c:pt>
                <c:pt idx="16">
                  <c:v>3.74</c:v>
                </c:pt>
                <c:pt idx="17">
                  <c:v>3.06</c:v>
                </c:pt>
                <c:pt idx="18">
                  <c:v>13.02</c:v>
                </c:pt>
                <c:pt idx="19">
                  <c:v>10</c:v>
                </c:pt>
                <c:pt idx="20">
                  <c:v>5.3</c:v>
                </c:pt>
                <c:pt idx="21">
                  <c:v>9.66</c:v>
                </c:pt>
                <c:pt idx="22">
                  <c:v>7.36</c:v>
                </c:pt>
                <c:pt idx="23">
                  <c:v>8.86</c:v>
                </c:pt>
                <c:pt idx="24">
                  <c:v>6.12</c:v>
                </c:pt>
                <c:pt idx="25">
                  <c:v>5.82</c:v>
                </c:pt>
                <c:pt idx="26">
                  <c:v>6.76</c:v>
                </c:pt>
                <c:pt idx="27">
                  <c:v>5.38</c:v>
                </c:pt>
                <c:pt idx="28">
                  <c:v>4.9000000000000004</c:v>
                </c:pt>
                <c:pt idx="29">
                  <c:v>5.42</c:v>
                </c:pt>
              </c:numCache>
            </c:numRef>
          </c:xVal>
          <c:yVal>
            <c:numRef>
              <c:f>Graphs!$Q$2:$Q$31</c:f>
              <c:numCache>
                <c:formatCode>0.000</c:formatCode>
                <c:ptCount val="30"/>
                <c:pt idx="0">
                  <c:v>11.106266666667</c:v>
                </c:pt>
                <c:pt idx="1">
                  <c:v>9.8315000000000001</c:v>
                </c:pt>
                <c:pt idx="2">
                  <c:v>9.6591333333332994</c:v>
                </c:pt>
                <c:pt idx="3">
                  <c:v>9.8326333333333</c:v>
                </c:pt>
                <c:pt idx="4">
                  <c:v>9.9440333333332998</c:v>
                </c:pt>
                <c:pt idx="5">
                  <c:v>9.0339333333332998</c:v>
                </c:pt>
                <c:pt idx="6">
                  <c:v>9.1329666666667002</c:v>
                </c:pt>
                <c:pt idx="7">
                  <c:v>10.330466666667</c:v>
                </c:pt>
                <c:pt idx="8">
                  <c:v>11.044233333333001</c:v>
                </c:pt>
                <c:pt idx="9">
                  <c:v>10.997199999999999</c:v>
                </c:pt>
                <c:pt idx="10">
                  <c:v>10.242699999999999</c:v>
                </c:pt>
                <c:pt idx="11">
                  <c:v>10.787133333332999</c:v>
                </c:pt>
                <c:pt idx="12">
                  <c:v>11.861166666667</c:v>
                </c:pt>
                <c:pt idx="13">
                  <c:v>10.220366666666999</c:v>
                </c:pt>
                <c:pt idx="14">
                  <c:v>10.932466666667001</c:v>
                </c:pt>
                <c:pt idx="15">
                  <c:v>10.923333333333</c:v>
                </c:pt>
                <c:pt idx="16">
                  <c:v>10.23</c:v>
                </c:pt>
                <c:pt idx="17">
                  <c:v>10.673333333333</c:v>
                </c:pt>
                <c:pt idx="18">
                  <c:v>9.19</c:v>
                </c:pt>
                <c:pt idx="19">
                  <c:v>9.9333333333332998</c:v>
                </c:pt>
                <c:pt idx="20">
                  <c:v>9.7466666666666999</c:v>
                </c:pt>
                <c:pt idx="21">
                  <c:v>9.56</c:v>
                </c:pt>
                <c:pt idx="22">
                  <c:v>10.356666666667</c:v>
                </c:pt>
                <c:pt idx="23">
                  <c:v>9.75</c:v>
                </c:pt>
                <c:pt idx="24">
                  <c:v>10.55</c:v>
                </c:pt>
                <c:pt idx="25">
                  <c:v>10.98</c:v>
                </c:pt>
                <c:pt idx="26">
                  <c:v>10.366666666666999</c:v>
                </c:pt>
                <c:pt idx="27">
                  <c:v>10.313333333333</c:v>
                </c:pt>
                <c:pt idx="28">
                  <c:v>9.8233333333333004</c:v>
                </c:pt>
                <c:pt idx="29">
                  <c:v>10.166666666667</c:v>
                </c:pt>
              </c:numCache>
            </c:numRef>
          </c:yVal>
          <c:smooth val="0"/>
        </c:ser>
        <c:dLbls>
          <c:showLegendKey val="0"/>
          <c:showVal val="0"/>
          <c:showCatName val="0"/>
          <c:showSerName val="0"/>
          <c:showPercent val="0"/>
          <c:showBubbleSize val="0"/>
        </c:dLbls>
        <c:axId val="515117376"/>
        <c:axId val="515116592"/>
      </c:scatterChart>
      <c:valAx>
        <c:axId val="515117376"/>
        <c:scaling>
          <c:orientation val="minMax"/>
          <c:max val="1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 Cover Crop Biomass N (g/m2)</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5116592"/>
        <c:crosses val="autoZero"/>
        <c:crossBetween val="midCat"/>
      </c:valAx>
      <c:valAx>
        <c:axId val="515116592"/>
        <c:scaling>
          <c:orientation val="minMax"/>
          <c:min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Soil C/N Ratio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51173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pH!$A$3</c:f>
              <c:strCache>
                <c:ptCount val="1"/>
                <c:pt idx="0">
                  <c:v>Control</c:v>
                </c:pt>
              </c:strCache>
            </c:strRef>
          </c:tx>
          <c:spPr>
            <a:solidFill>
              <a:schemeClr val="dk1">
                <a:tint val="88500"/>
              </a:schemeClr>
            </a:solidFill>
            <a:ln>
              <a:noFill/>
            </a:ln>
            <a:effectLst/>
          </c:spPr>
          <c:invertIfNegative val="0"/>
          <c:dLbls>
            <c:dLbl>
              <c:idx val="0"/>
              <c:tx>
                <c:rich>
                  <a:bodyPr/>
                  <a:lstStyle/>
                  <a:p>
                    <a:r>
                      <a:rPr lang="en-US"/>
                      <a:t>ABb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B12-491E-B95E-9B3E7FB8EE86}"/>
                </c:ext>
                <c:ext xmlns:c15="http://schemas.microsoft.com/office/drawing/2012/chart" uri="{CE6537A1-D6FC-4f65-9D91-7224C49458BB}"/>
              </c:extLst>
            </c:dLbl>
            <c:dLbl>
              <c:idx val="1"/>
              <c:tx>
                <c:rich>
                  <a:bodyPr/>
                  <a:lstStyle/>
                  <a:p>
                    <a:r>
                      <a:rPr lang="en-US"/>
                      <a:t>Ab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B12-491E-B95E-9B3E7FB8EE86}"/>
                </c:ext>
                <c:ext xmlns:c15="http://schemas.microsoft.com/office/drawing/2012/chart" uri="{CE6537A1-D6FC-4f65-9D91-7224C49458BB}"/>
              </c:extLst>
            </c:dLbl>
            <c:dLbl>
              <c:idx val="2"/>
              <c:tx>
                <c:rich>
                  <a:bodyPr/>
                  <a:lstStyle/>
                  <a:p>
                    <a:r>
                      <a:rPr lang="en-US"/>
                      <a:t>ABb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B12-491E-B95E-9B3E7FB8EE86}"/>
                </c:ext>
                <c:ext xmlns:c15="http://schemas.microsoft.com/office/drawing/2012/chart" uri="{CE6537A1-D6FC-4f65-9D91-7224C49458BB}"/>
              </c:extLst>
            </c:dLbl>
            <c:dLbl>
              <c:idx val="3"/>
              <c:tx>
                <c:rich>
                  <a:bodyPr/>
                  <a:lstStyle/>
                  <a:p>
                    <a:r>
                      <a:rPr lang="en-US"/>
                      <a:t>BCb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B12-491E-B95E-9B3E7FB8EE86}"/>
                </c:ext>
                <c:ext xmlns:c15="http://schemas.microsoft.com/office/drawing/2012/chart" uri="{CE6537A1-D6FC-4f65-9D91-7224C49458BB}"/>
              </c:extLst>
            </c:dLbl>
            <c:dLbl>
              <c:idx val="4"/>
              <c:tx>
                <c:rich>
                  <a:bodyPr/>
                  <a:lstStyle/>
                  <a:p>
                    <a:r>
                      <a:rPr lang="en-US"/>
                      <a:t>Cb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B12-491E-B95E-9B3E7FB8EE86}"/>
                </c:ext>
                <c:ext xmlns:c15="http://schemas.microsoft.com/office/drawing/2012/chart" uri="{CE6537A1-D6FC-4f65-9D91-7224C49458BB}"/>
              </c:extLst>
            </c:dLbl>
            <c:dLbl>
              <c:idx val="5"/>
              <c:tx>
                <c:rich>
                  <a:bodyPr/>
                  <a:lstStyle/>
                  <a:p>
                    <a:r>
                      <a:rPr lang="en-US"/>
                      <a:t>BCb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B12-491E-B95E-9B3E7FB8EE86}"/>
                </c:ext>
                <c:ext xmlns:c15="http://schemas.microsoft.com/office/drawing/2012/chart" uri="{CE6537A1-D6FC-4f65-9D91-7224C49458BB}"/>
              </c:extLst>
            </c:dLbl>
            <c:dLbl>
              <c:idx val="6"/>
              <c:tx>
                <c:rich>
                  <a:bodyPr/>
                  <a:lstStyle/>
                  <a:p>
                    <a:r>
                      <a:rPr lang="en-US"/>
                      <a:t>Cb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B12-491E-B95E-9B3E7FB8EE86}"/>
                </c:ext>
                <c:ext xmlns:c15="http://schemas.microsoft.com/office/drawing/2012/chart" uri="{CE6537A1-D6FC-4f65-9D91-7224C49458BB}"/>
              </c:extLst>
            </c:dLbl>
            <c:dLbl>
              <c:idx val="7"/>
              <c:tx>
                <c:rich>
                  <a:bodyPr/>
                  <a:lstStyle/>
                  <a:p>
                    <a:r>
                      <a:rPr lang="en-US"/>
                      <a:t>Db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B12-491E-B95E-9B3E7FB8EE8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(pH!$B$2,pH!$D$2,pH!$F$2,pH!$H$2,pH!$J$2,pH!$L$2,pH!$N$2,pH!$P$2)</c:f>
              <c:strCache>
                <c:ptCount val="8"/>
                <c:pt idx="0">
                  <c:v>2014-Mar</c:v>
                </c:pt>
                <c:pt idx="1">
                  <c:v>2014-Apr</c:v>
                </c:pt>
                <c:pt idx="2">
                  <c:v>2014-Agu</c:v>
                </c:pt>
                <c:pt idx="3">
                  <c:v>2014-Nov</c:v>
                </c:pt>
                <c:pt idx="4">
                  <c:v>2015-Mar</c:v>
                </c:pt>
                <c:pt idx="5">
                  <c:v>2015-Apr</c:v>
                </c:pt>
                <c:pt idx="6">
                  <c:v>2015-Aug</c:v>
                </c:pt>
                <c:pt idx="7">
                  <c:v>2015-Nov</c:v>
                </c:pt>
              </c:strCache>
            </c:strRef>
          </c:cat>
          <c:val>
            <c:numRef>
              <c:f>(pH!$B$3,pH!$D$3,pH!$F$3,pH!$H$3,pH!$J$3,pH!$L$3,pH!$N$3,pH!$P$3)</c:f>
              <c:numCache>
                <c:formatCode>0.00</c:formatCode>
                <c:ptCount val="8"/>
                <c:pt idx="0">
                  <c:v>6.5333333333333341</c:v>
                </c:pt>
                <c:pt idx="1">
                  <c:v>6.666666666666667</c:v>
                </c:pt>
                <c:pt idx="2">
                  <c:v>6.5999999999999988</c:v>
                </c:pt>
                <c:pt idx="3">
                  <c:v>6.5333333333333341</c:v>
                </c:pt>
                <c:pt idx="4">
                  <c:v>6.5</c:v>
                </c:pt>
                <c:pt idx="5">
                  <c:v>6.5333333333333341</c:v>
                </c:pt>
                <c:pt idx="6">
                  <c:v>6.3999999999999995</c:v>
                </c:pt>
                <c:pt idx="7">
                  <c:v>6.0999999999999988</c:v>
                </c:pt>
              </c:numCache>
            </c:numRef>
          </c:val>
          <c:extLst xmlns:c16r2="http://schemas.microsoft.com/office/drawing/2015/06/chart">
            <c:ext xmlns:c16="http://schemas.microsoft.com/office/drawing/2014/chart" uri="{C3380CC4-5D6E-409C-BE32-E72D297353CC}">
              <c16:uniqueId val="{00000008-1B12-491E-B95E-9B3E7FB8EE86}"/>
            </c:ext>
          </c:extLst>
        </c:ser>
        <c:ser>
          <c:idx val="1"/>
          <c:order val="1"/>
          <c:tx>
            <c:strRef>
              <c:f>pH!$A$4</c:f>
              <c:strCache>
                <c:ptCount val="1"/>
                <c:pt idx="0">
                  <c:v>Winter Peas</c:v>
                </c:pt>
              </c:strCache>
            </c:strRef>
          </c:tx>
          <c:spPr>
            <a:solidFill>
              <a:schemeClr val="dk1">
                <a:tint val="55000"/>
              </a:schemeClr>
            </a:solidFill>
            <a:ln>
              <a:noFill/>
            </a:ln>
            <a:effectLst/>
          </c:spPr>
          <c:invertIfNegative val="0"/>
          <c:dLbls>
            <c:dLbl>
              <c:idx val="0"/>
              <c:tx>
                <c:rich>
                  <a:bodyPr/>
                  <a:lstStyle/>
                  <a:p>
                    <a:r>
                      <a:rPr lang="en-US"/>
                      <a:t>ABb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B12-491E-B95E-9B3E7FB8EE86}"/>
                </c:ext>
                <c:ext xmlns:c15="http://schemas.microsoft.com/office/drawing/2012/chart" uri="{CE6537A1-D6FC-4f65-9D91-7224C49458BB}"/>
              </c:extLst>
            </c:dLbl>
            <c:dLbl>
              <c:idx val="1"/>
              <c:tx>
                <c:rich>
                  <a:bodyPr/>
                  <a:lstStyle/>
                  <a:p>
                    <a:r>
                      <a:rPr lang="en-US"/>
                      <a:t>Ab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B12-491E-B95E-9B3E7FB8EE86}"/>
                </c:ext>
                <c:ext xmlns:c15="http://schemas.microsoft.com/office/drawing/2012/chart" uri="{CE6537A1-D6FC-4f65-9D91-7224C49458BB}"/>
              </c:extLst>
            </c:dLbl>
            <c:dLbl>
              <c:idx val="2"/>
              <c:tx>
                <c:rich>
                  <a:bodyPr/>
                  <a:lstStyle/>
                  <a:p>
                    <a:r>
                      <a:rPr lang="en-US"/>
                      <a:t>ABb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B12-491E-B95E-9B3E7FB8EE86}"/>
                </c:ext>
                <c:ext xmlns:c15="http://schemas.microsoft.com/office/drawing/2012/chart" uri="{CE6537A1-D6FC-4f65-9D91-7224C49458BB}"/>
              </c:extLst>
            </c:dLbl>
            <c:dLbl>
              <c:idx val="3"/>
              <c:tx>
                <c:rich>
                  <a:bodyPr/>
                  <a:lstStyle/>
                  <a:p>
                    <a:r>
                      <a:rPr lang="en-US"/>
                      <a:t>BCb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B12-491E-B95E-9B3E7FB8EE86}"/>
                </c:ext>
                <c:ext xmlns:c15="http://schemas.microsoft.com/office/drawing/2012/chart" uri="{CE6537A1-D6FC-4f65-9D91-7224C49458BB}"/>
              </c:extLst>
            </c:dLbl>
            <c:dLbl>
              <c:idx val="4"/>
              <c:tx>
                <c:rich>
                  <a:bodyPr/>
                  <a:lstStyle/>
                  <a:p>
                    <a:r>
                      <a:rPr lang="en-US"/>
                      <a:t>Cb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B12-491E-B95E-9B3E7FB8EE86}"/>
                </c:ext>
                <c:ext xmlns:c15="http://schemas.microsoft.com/office/drawing/2012/chart" uri="{CE6537A1-D6FC-4f65-9D91-7224C49458BB}"/>
              </c:extLst>
            </c:dLbl>
            <c:dLbl>
              <c:idx val="5"/>
              <c:tx>
                <c:rich>
                  <a:bodyPr/>
                  <a:lstStyle/>
                  <a:p>
                    <a:r>
                      <a:rPr lang="en-US"/>
                      <a:t>BCb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B12-491E-B95E-9B3E7FB8EE86}"/>
                </c:ext>
                <c:ext xmlns:c15="http://schemas.microsoft.com/office/drawing/2012/chart" uri="{CE6537A1-D6FC-4f65-9D91-7224C49458BB}"/>
              </c:extLst>
            </c:dLbl>
            <c:dLbl>
              <c:idx val="6"/>
              <c:tx>
                <c:rich>
                  <a:bodyPr/>
                  <a:lstStyle/>
                  <a:p>
                    <a:r>
                      <a:rPr lang="en-US"/>
                      <a:t>Cb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B12-491E-B95E-9B3E7FB8EE86}"/>
                </c:ext>
                <c:ext xmlns:c15="http://schemas.microsoft.com/office/drawing/2012/chart" uri="{CE6537A1-D6FC-4f65-9D91-7224C49458BB}"/>
              </c:extLst>
            </c:dLbl>
            <c:dLbl>
              <c:idx val="7"/>
              <c:tx>
                <c:rich>
                  <a:bodyPr/>
                  <a:lstStyle/>
                  <a:p>
                    <a:r>
                      <a:rPr lang="en-US"/>
                      <a:t>Db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B12-491E-B95E-9B3E7FB8EE8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(pH!$B$2,pH!$D$2,pH!$F$2,pH!$H$2,pH!$J$2,pH!$L$2,pH!$N$2,pH!$P$2)</c:f>
              <c:strCache>
                <c:ptCount val="8"/>
                <c:pt idx="0">
                  <c:v>2014-Mar</c:v>
                </c:pt>
                <c:pt idx="1">
                  <c:v>2014-Apr</c:v>
                </c:pt>
                <c:pt idx="2">
                  <c:v>2014-Agu</c:v>
                </c:pt>
                <c:pt idx="3">
                  <c:v>2014-Nov</c:v>
                </c:pt>
                <c:pt idx="4">
                  <c:v>2015-Mar</c:v>
                </c:pt>
                <c:pt idx="5">
                  <c:v>2015-Apr</c:v>
                </c:pt>
                <c:pt idx="6">
                  <c:v>2015-Aug</c:v>
                </c:pt>
                <c:pt idx="7">
                  <c:v>2015-Nov</c:v>
                </c:pt>
              </c:strCache>
            </c:strRef>
          </c:cat>
          <c:val>
            <c:numRef>
              <c:f>(pH!$B$4,pH!$D$4,pH!$F$4,pH!$H$4,pH!$J$4,pH!$L$4,pH!$N$4,pH!$P$4)</c:f>
              <c:numCache>
                <c:formatCode>0.00</c:formatCode>
                <c:ptCount val="8"/>
                <c:pt idx="0">
                  <c:v>6.5999999999999988</c:v>
                </c:pt>
                <c:pt idx="1">
                  <c:v>6.5999999999999988</c:v>
                </c:pt>
                <c:pt idx="2">
                  <c:v>6.5666666666666673</c:v>
                </c:pt>
                <c:pt idx="3">
                  <c:v>6.4333333333333336</c:v>
                </c:pt>
                <c:pt idx="4">
                  <c:v>6.4666666666666677</c:v>
                </c:pt>
                <c:pt idx="5">
                  <c:v>6.4333333333333336</c:v>
                </c:pt>
                <c:pt idx="6">
                  <c:v>6.4333333333333336</c:v>
                </c:pt>
                <c:pt idx="7">
                  <c:v>6.0933333333333337</c:v>
                </c:pt>
              </c:numCache>
            </c:numRef>
          </c:val>
          <c:extLst xmlns:c16r2="http://schemas.microsoft.com/office/drawing/2015/06/chart">
            <c:ext xmlns:c16="http://schemas.microsoft.com/office/drawing/2014/chart" uri="{C3380CC4-5D6E-409C-BE32-E72D297353CC}">
              <c16:uniqueId val="{00000011-1B12-491E-B95E-9B3E7FB8EE86}"/>
            </c:ext>
          </c:extLst>
        </c:ser>
        <c:ser>
          <c:idx val="2"/>
          <c:order val="2"/>
          <c:tx>
            <c:strRef>
              <c:f>pH!$A$5</c:f>
              <c:strCache>
                <c:ptCount val="1"/>
                <c:pt idx="0">
                  <c:v>Bell Beans</c:v>
                </c:pt>
              </c:strCache>
            </c:strRef>
          </c:tx>
          <c:spPr>
            <a:solidFill>
              <a:schemeClr val="dk1">
                <a:tint val="75000"/>
              </a:schemeClr>
            </a:solidFill>
            <a:ln>
              <a:noFill/>
            </a:ln>
            <a:effectLst/>
          </c:spPr>
          <c:invertIfNegative val="0"/>
          <c:dLbls>
            <c:dLbl>
              <c:idx val="0"/>
              <c:tx>
                <c:rich>
                  <a:bodyPr/>
                  <a:lstStyle/>
                  <a:p>
                    <a:r>
                      <a:rPr lang="en-US"/>
                      <a:t>ABa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1B12-491E-B95E-9B3E7FB8EE86}"/>
                </c:ext>
                <c:ext xmlns:c15="http://schemas.microsoft.com/office/drawing/2012/chart" uri="{CE6537A1-D6FC-4f65-9D91-7224C49458BB}"/>
              </c:extLst>
            </c:dLbl>
            <c:dLbl>
              <c:idx val="1"/>
              <c:tx>
                <c:rich>
                  <a:bodyPr/>
                  <a:lstStyle/>
                  <a:p>
                    <a:r>
                      <a:rPr lang="en-US"/>
                      <a:t>Aa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B12-491E-B95E-9B3E7FB8EE86}"/>
                </c:ext>
                <c:ext xmlns:c15="http://schemas.microsoft.com/office/drawing/2012/chart" uri="{CE6537A1-D6FC-4f65-9D91-7224C49458BB}"/>
              </c:extLst>
            </c:dLbl>
            <c:dLbl>
              <c:idx val="2"/>
              <c:tx>
                <c:rich>
                  <a:bodyPr/>
                  <a:lstStyle/>
                  <a:p>
                    <a:r>
                      <a:rPr lang="en-US"/>
                      <a:t>ABa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1B12-491E-B95E-9B3E7FB8EE86}"/>
                </c:ext>
                <c:ext xmlns:c15="http://schemas.microsoft.com/office/drawing/2012/chart" uri="{CE6537A1-D6FC-4f65-9D91-7224C49458BB}"/>
              </c:extLst>
            </c:dLbl>
            <c:dLbl>
              <c:idx val="3"/>
              <c:tx>
                <c:rich>
                  <a:bodyPr/>
                  <a:lstStyle/>
                  <a:p>
                    <a:r>
                      <a:rPr lang="en-US"/>
                      <a:t>BCa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1B12-491E-B95E-9B3E7FB8EE86}"/>
                </c:ext>
                <c:ext xmlns:c15="http://schemas.microsoft.com/office/drawing/2012/chart" uri="{CE6537A1-D6FC-4f65-9D91-7224C49458BB}"/>
              </c:extLst>
            </c:dLbl>
            <c:dLbl>
              <c:idx val="4"/>
              <c:tx>
                <c:rich>
                  <a:bodyPr/>
                  <a:lstStyle/>
                  <a:p>
                    <a:r>
                      <a:rPr lang="en-US"/>
                      <a:t>Ca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1B12-491E-B95E-9B3E7FB8EE86}"/>
                </c:ext>
                <c:ext xmlns:c15="http://schemas.microsoft.com/office/drawing/2012/chart" uri="{CE6537A1-D6FC-4f65-9D91-7224C49458BB}"/>
              </c:extLst>
            </c:dLbl>
            <c:dLbl>
              <c:idx val="5"/>
              <c:tx>
                <c:rich>
                  <a:bodyPr/>
                  <a:lstStyle/>
                  <a:p>
                    <a:r>
                      <a:rPr lang="en-US"/>
                      <a:t>BCa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1B12-491E-B95E-9B3E7FB8EE86}"/>
                </c:ext>
                <c:ext xmlns:c15="http://schemas.microsoft.com/office/drawing/2012/chart" uri="{CE6537A1-D6FC-4f65-9D91-7224C49458BB}"/>
              </c:extLst>
            </c:dLbl>
            <c:dLbl>
              <c:idx val="6"/>
              <c:tx>
                <c:rich>
                  <a:bodyPr/>
                  <a:lstStyle/>
                  <a:p>
                    <a:r>
                      <a:rPr lang="en-US"/>
                      <a:t>Ca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1B12-491E-B95E-9B3E7FB8EE86}"/>
                </c:ext>
                <c:ext xmlns:c15="http://schemas.microsoft.com/office/drawing/2012/chart" uri="{CE6537A1-D6FC-4f65-9D91-7224C49458BB}"/>
              </c:extLst>
            </c:dLbl>
            <c:dLbl>
              <c:idx val="7"/>
              <c:tx>
                <c:rich>
                  <a:bodyPr/>
                  <a:lstStyle/>
                  <a:p>
                    <a:r>
                      <a:rPr lang="en-US"/>
                      <a:t>Da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1B12-491E-B95E-9B3E7FB8EE8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(pH!$B$2,pH!$D$2,pH!$F$2,pH!$H$2,pH!$J$2,pH!$L$2,pH!$N$2,pH!$P$2)</c:f>
              <c:strCache>
                <c:ptCount val="8"/>
                <c:pt idx="0">
                  <c:v>2014-Mar</c:v>
                </c:pt>
                <c:pt idx="1">
                  <c:v>2014-Apr</c:v>
                </c:pt>
                <c:pt idx="2">
                  <c:v>2014-Agu</c:v>
                </c:pt>
                <c:pt idx="3">
                  <c:v>2014-Nov</c:v>
                </c:pt>
                <c:pt idx="4">
                  <c:v>2015-Mar</c:v>
                </c:pt>
                <c:pt idx="5">
                  <c:v>2015-Apr</c:v>
                </c:pt>
                <c:pt idx="6">
                  <c:v>2015-Aug</c:v>
                </c:pt>
                <c:pt idx="7">
                  <c:v>2015-Nov</c:v>
                </c:pt>
              </c:strCache>
            </c:strRef>
          </c:cat>
          <c:val>
            <c:numRef>
              <c:f>(pH!$B$5,pH!$D$5,pH!$F$5,pH!$H$5,pH!$J$5,pH!$L$5,pH!$N$5,pH!$P$5)</c:f>
              <c:numCache>
                <c:formatCode>0.00</c:formatCode>
                <c:ptCount val="8"/>
                <c:pt idx="0">
                  <c:v>6.7333333333333334</c:v>
                </c:pt>
                <c:pt idx="1">
                  <c:v>6.7333333333333334</c:v>
                </c:pt>
                <c:pt idx="2">
                  <c:v>6.5999999999999988</c:v>
                </c:pt>
                <c:pt idx="3">
                  <c:v>6.666666666666667</c:v>
                </c:pt>
                <c:pt idx="4">
                  <c:v>6.5666666666666664</c:v>
                </c:pt>
                <c:pt idx="5">
                  <c:v>6.5999999999999988</c:v>
                </c:pt>
                <c:pt idx="6">
                  <c:v>6.6333333333333329</c:v>
                </c:pt>
                <c:pt idx="7">
                  <c:v>6.2700000000000005</c:v>
                </c:pt>
              </c:numCache>
            </c:numRef>
          </c:val>
          <c:extLst xmlns:c16r2="http://schemas.microsoft.com/office/drawing/2015/06/chart">
            <c:ext xmlns:c16="http://schemas.microsoft.com/office/drawing/2014/chart" uri="{C3380CC4-5D6E-409C-BE32-E72D297353CC}">
              <c16:uniqueId val="{0000001A-1B12-491E-B95E-9B3E7FB8EE86}"/>
            </c:ext>
          </c:extLst>
        </c:ser>
        <c:ser>
          <c:idx val="3"/>
          <c:order val="3"/>
          <c:tx>
            <c:strRef>
              <c:f>pH!$A$6</c:f>
              <c:strCache>
                <c:ptCount val="1"/>
                <c:pt idx="0">
                  <c:v>Mustard</c:v>
                </c:pt>
              </c:strCache>
            </c:strRef>
          </c:tx>
          <c:spPr>
            <a:solidFill>
              <a:schemeClr val="dk1">
                <a:tint val="98500"/>
              </a:schemeClr>
            </a:solidFill>
            <a:ln>
              <a:noFill/>
            </a:ln>
            <a:effectLst/>
          </c:spPr>
          <c:invertIfNegative val="0"/>
          <c:dLbls>
            <c:dLbl>
              <c:idx val="0"/>
              <c:tx>
                <c:rich>
                  <a:bodyPr/>
                  <a:lstStyle/>
                  <a:p>
                    <a:r>
                      <a:rPr lang="en-US"/>
                      <a:t>ABa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1B12-491E-B95E-9B3E7FB8EE86}"/>
                </c:ext>
                <c:ext xmlns:c15="http://schemas.microsoft.com/office/drawing/2012/chart" uri="{CE6537A1-D6FC-4f65-9D91-7224C49458BB}"/>
              </c:extLst>
            </c:dLbl>
            <c:dLbl>
              <c:idx val="1"/>
              <c:tx>
                <c:rich>
                  <a:bodyPr/>
                  <a:lstStyle/>
                  <a:p>
                    <a:r>
                      <a:rPr lang="en-US"/>
                      <a:t>Aa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1B12-491E-B95E-9B3E7FB8EE86}"/>
                </c:ext>
                <c:ext xmlns:c15="http://schemas.microsoft.com/office/drawing/2012/chart" uri="{CE6537A1-D6FC-4f65-9D91-7224C49458BB}"/>
              </c:extLst>
            </c:dLbl>
            <c:dLbl>
              <c:idx val="2"/>
              <c:layout>
                <c:manualLayout>
                  <c:x val="-3.1174499259606215E-3"/>
                  <c:y val="-2.3643767240246947E-2"/>
                </c:manualLayout>
              </c:layout>
              <c:tx>
                <c:rich>
                  <a:bodyPr/>
                  <a:lstStyle/>
                  <a:p>
                    <a:r>
                      <a:rPr lang="en-US"/>
                      <a:t>ABa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1B12-491E-B95E-9B3E7FB8EE86}"/>
                </c:ext>
                <c:ext xmlns:c15="http://schemas.microsoft.com/office/drawing/2012/chart" uri="{CE6537A1-D6FC-4f65-9D91-7224C49458BB}"/>
              </c:extLst>
            </c:dLbl>
            <c:dLbl>
              <c:idx val="3"/>
              <c:layout>
                <c:manualLayout>
                  <c:x val="1.0911074740862031E-2"/>
                  <c:y val="-7.8812557467489823E-3"/>
                </c:manualLayout>
              </c:layout>
              <c:tx>
                <c:rich>
                  <a:bodyPr/>
                  <a:lstStyle/>
                  <a:p>
                    <a:r>
                      <a:rPr lang="en-US"/>
                      <a:t>BCa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1B12-491E-B95E-9B3E7FB8EE86}"/>
                </c:ext>
                <c:ext xmlns:c15="http://schemas.microsoft.com/office/drawing/2012/chart" uri="{CE6537A1-D6FC-4f65-9D91-7224C49458BB}"/>
              </c:extLst>
            </c:dLbl>
            <c:dLbl>
              <c:idx val="4"/>
              <c:tx>
                <c:rich>
                  <a:bodyPr/>
                  <a:lstStyle/>
                  <a:p>
                    <a:r>
                      <a:rPr lang="en-US"/>
                      <a:t>Ca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1B12-491E-B95E-9B3E7FB8EE86}"/>
                </c:ext>
                <c:ext xmlns:c15="http://schemas.microsoft.com/office/drawing/2012/chart" uri="{CE6537A1-D6FC-4f65-9D91-7224C49458BB}"/>
              </c:extLst>
            </c:dLbl>
            <c:dLbl>
              <c:idx val="5"/>
              <c:layout>
                <c:manualLayout>
                  <c:x val="-3.1174499259605643E-3"/>
                  <c:y val="-2.3643767240246947E-2"/>
                </c:manualLayout>
              </c:layout>
              <c:tx>
                <c:rich>
                  <a:bodyPr/>
                  <a:lstStyle/>
                  <a:p>
                    <a:r>
                      <a:rPr lang="en-US"/>
                      <a:t>BCa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1B12-491E-B95E-9B3E7FB8EE86}"/>
                </c:ext>
                <c:ext xmlns:c15="http://schemas.microsoft.com/office/drawing/2012/chart" uri="{CE6537A1-D6FC-4f65-9D91-7224C49458BB}"/>
              </c:extLst>
            </c:dLbl>
            <c:dLbl>
              <c:idx val="6"/>
              <c:tx>
                <c:rich>
                  <a:bodyPr/>
                  <a:lstStyle/>
                  <a:p>
                    <a:r>
                      <a:rPr lang="en-US"/>
                      <a:t>Ca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1B12-491E-B95E-9B3E7FB8EE86}"/>
                </c:ext>
                <c:ext xmlns:c15="http://schemas.microsoft.com/office/drawing/2012/chart" uri="{CE6537A1-D6FC-4f65-9D91-7224C49458BB}"/>
              </c:extLst>
            </c:dLbl>
            <c:dLbl>
              <c:idx val="7"/>
              <c:tx>
                <c:rich>
                  <a:bodyPr/>
                  <a:lstStyle/>
                  <a:p>
                    <a:r>
                      <a:rPr lang="en-US"/>
                      <a:t>Da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1B12-491E-B95E-9B3E7FB8EE8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(pH!$B$2,pH!$D$2,pH!$F$2,pH!$H$2,pH!$J$2,pH!$L$2,pH!$N$2,pH!$P$2)</c:f>
              <c:strCache>
                <c:ptCount val="8"/>
                <c:pt idx="0">
                  <c:v>2014-Mar</c:v>
                </c:pt>
                <c:pt idx="1">
                  <c:v>2014-Apr</c:v>
                </c:pt>
                <c:pt idx="2">
                  <c:v>2014-Agu</c:v>
                </c:pt>
                <c:pt idx="3">
                  <c:v>2014-Nov</c:v>
                </c:pt>
                <c:pt idx="4">
                  <c:v>2015-Mar</c:v>
                </c:pt>
                <c:pt idx="5">
                  <c:v>2015-Apr</c:v>
                </c:pt>
                <c:pt idx="6">
                  <c:v>2015-Aug</c:v>
                </c:pt>
                <c:pt idx="7">
                  <c:v>2015-Nov</c:v>
                </c:pt>
              </c:strCache>
            </c:strRef>
          </c:cat>
          <c:val>
            <c:numRef>
              <c:f>(pH!$B$6,pH!$D$6,pH!$F$6,pH!$H$6,pH!$J$6,pH!$L$6,pH!$N$6,pH!$P$6)</c:f>
              <c:numCache>
                <c:formatCode>0.00</c:formatCode>
                <c:ptCount val="8"/>
                <c:pt idx="0">
                  <c:v>6.666666666666667</c:v>
                </c:pt>
                <c:pt idx="1">
                  <c:v>6.7666666666666657</c:v>
                </c:pt>
                <c:pt idx="2">
                  <c:v>6.6999999999999993</c:v>
                </c:pt>
                <c:pt idx="3">
                  <c:v>6.666666666666667</c:v>
                </c:pt>
                <c:pt idx="4">
                  <c:v>6.6000000000000005</c:v>
                </c:pt>
                <c:pt idx="5">
                  <c:v>6.6000000000000005</c:v>
                </c:pt>
                <c:pt idx="6">
                  <c:v>6.5</c:v>
                </c:pt>
                <c:pt idx="7">
                  <c:v>6.2766666666666673</c:v>
                </c:pt>
              </c:numCache>
            </c:numRef>
          </c:val>
          <c:extLst xmlns:c16r2="http://schemas.microsoft.com/office/drawing/2015/06/chart">
            <c:ext xmlns:c16="http://schemas.microsoft.com/office/drawing/2014/chart" uri="{C3380CC4-5D6E-409C-BE32-E72D297353CC}">
              <c16:uniqueId val="{00000023-1B12-491E-B95E-9B3E7FB8EE86}"/>
            </c:ext>
          </c:extLst>
        </c:ser>
        <c:ser>
          <c:idx val="4"/>
          <c:order val="4"/>
          <c:tx>
            <c:strRef>
              <c:f>pH!$A$7</c:f>
              <c:strCache>
                <c:ptCount val="1"/>
                <c:pt idx="0">
                  <c:v>Radish</c:v>
                </c:pt>
              </c:strCache>
            </c:strRef>
          </c:tx>
          <c:spPr>
            <a:solidFill>
              <a:schemeClr val="dk1">
                <a:tint val="30000"/>
              </a:schemeClr>
            </a:solidFill>
            <a:ln>
              <a:noFill/>
            </a:ln>
            <a:effectLst/>
          </c:spPr>
          <c:invertIfNegative val="0"/>
          <c:dLbls>
            <c:dLbl>
              <c:idx val="0"/>
              <c:tx>
                <c:rich>
                  <a:bodyPr/>
                  <a:lstStyle/>
                  <a:p>
                    <a:r>
                      <a:rPr lang="en-US"/>
                      <a:t>ABa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1B12-491E-B95E-9B3E7FB8EE86}"/>
                </c:ext>
                <c:ext xmlns:c15="http://schemas.microsoft.com/office/drawing/2012/chart" uri="{CE6537A1-D6FC-4f65-9D91-7224C49458BB}"/>
              </c:extLst>
            </c:dLbl>
            <c:dLbl>
              <c:idx val="1"/>
              <c:tx>
                <c:rich>
                  <a:bodyPr/>
                  <a:lstStyle/>
                  <a:p>
                    <a:r>
                      <a:rPr lang="en-US"/>
                      <a:t>Aa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1B12-491E-B95E-9B3E7FB8EE86}"/>
                </c:ext>
                <c:ext xmlns:c15="http://schemas.microsoft.com/office/drawing/2012/chart" uri="{CE6537A1-D6FC-4f65-9D91-7224C49458BB}"/>
              </c:extLst>
            </c:dLbl>
            <c:dLbl>
              <c:idx val="2"/>
              <c:tx>
                <c:rich>
                  <a:bodyPr/>
                  <a:lstStyle/>
                  <a:p>
                    <a:r>
                      <a:rPr lang="en-US"/>
                      <a:t>ABa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1B12-491E-B95E-9B3E7FB8EE86}"/>
                </c:ext>
                <c:ext xmlns:c15="http://schemas.microsoft.com/office/drawing/2012/chart" uri="{CE6537A1-D6FC-4f65-9D91-7224C49458BB}"/>
              </c:extLst>
            </c:dLbl>
            <c:dLbl>
              <c:idx val="3"/>
              <c:tx>
                <c:rich>
                  <a:bodyPr/>
                  <a:lstStyle/>
                  <a:p>
                    <a:r>
                      <a:rPr lang="en-US"/>
                      <a:t>BCa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1B12-491E-B95E-9B3E7FB8EE86}"/>
                </c:ext>
                <c:ext xmlns:c15="http://schemas.microsoft.com/office/drawing/2012/chart" uri="{CE6537A1-D6FC-4f65-9D91-7224C49458BB}"/>
              </c:extLst>
            </c:dLbl>
            <c:dLbl>
              <c:idx val="4"/>
              <c:tx>
                <c:rich>
                  <a:bodyPr/>
                  <a:lstStyle/>
                  <a:p>
                    <a:r>
                      <a:rPr lang="en-US"/>
                      <a:t>Ca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8-1B12-491E-B95E-9B3E7FB8EE86}"/>
                </c:ext>
                <c:ext xmlns:c15="http://schemas.microsoft.com/office/drawing/2012/chart" uri="{CE6537A1-D6FC-4f65-9D91-7224C49458BB}"/>
              </c:extLst>
            </c:dLbl>
            <c:dLbl>
              <c:idx val="5"/>
              <c:tx>
                <c:rich>
                  <a:bodyPr/>
                  <a:lstStyle/>
                  <a:p>
                    <a:r>
                      <a:rPr lang="en-US"/>
                      <a:t>BCa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1B12-491E-B95E-9B3E7FB8EE86}"/>
                </c:ext>
                <c:ext xmlns:c15="http://schemas.microsoft.com/office/drawing/2012/chart" uri="{CE6537A1-D6FC-4f65-9D91-7224C49458BB}"/>
              </c:extLst>
            </c:dLbl>
            <c:dLbl>
              <c:idx val="6"/>
              <c:tx>
                <c:rich>
                  <a:bodyPr/>
                  <a:lstStyle/>
                  <a:p>
                    <a:r>
                      <a:rPr lang="en-US"/>
                      <a:t>Ca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A-1B12-491E-B95E-9B3E7FB8EE86}"/>
                </c:ext>
                <c:ext xmlns:c15="http://schemas.microsoft.com/office/drawing/2012/chart" uri="{CE6537A1-D6FC-4f65-9D91-7224C49458BB}"/>
              </c:extLst>
            </c:dLbl>
            <c:dLbl>
              <c:idx val="7"/>
              <c:tx>
                <c:rich>
                  <a:bodyPr/>
                  <a:lstStyle/>
                  <a:p>
                    <a:r>
                      <a:rPr lang="en-US"/>
                      <a:t>Da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B-1B12-491E-B95E-9B3E7FB8EE8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(pH!$B$2,pH!$D$2,pH!$F$2,pH!$H$2,pH!$J$2,pH!$L$2,pH!$N$2,pH!$P$2)</c:f>
              <c:strCache>
                <c:ptCount val="8"/>
                <c:pt idx="0">
                  <c:v>2014-Mar</c:v>
                </c:pt>
                <c:pt idx="1">
                  <c:v>2014-Apr</c:v>
                </c:pt>
                <c:pt idx="2">
                  <c:v>2014-Agu</c:v>
                </c:pt>
                <c:pt idx="3">
                  <c:v>2014-Nov</c:v>
                </c:pt>
                <c:pt idx="4">
                  <c:v>2015-Mar</c:v>
                </c:pt>
                <c:pt idx="5">
                  <c:v>2015-Apr</c:v>
                </c:pt>
                <c:pt idx="6">
                  <c:v>2015-Aug</c:v>
                </c:pt>
                <c:pt idx="7">
                  <c:v>2015-Nov</c:v>
                </c:pt>
              </c:strCache>
            </c:strRef>
          </c:cat>
          <c:val>
            <c:numRef>
              <c:f>(pH!$B$7,pH!$D$7,pH!$F$7,pH!$H$7,pH!$J$7,pH!$L$7,pH!$N$7,pH!$P$7)</c:f>
              <c:numCache>
                <c:formatCode>0.00</c:formatCode>
                <c:ptCount val="8"/>
                <c:pt idx="0">
                  <c:v>6.6333333333333329</c:v>
                </c:pt>
                <c:pt idx="1">
                  <c:v>6.7333333333333343</c:v>
                </c:pt>
                <c:pt idx="2">
                  <c:v>6.7</c:v>
                </c:pt>
                <c:pt idx="3">
                  <c:v>6.6333333333333329</c:v>
                </c:pt>
                <c:pt idx="4">
                  <c:v>6.6000000000000005</c:v>
                </c:pt>
                <c:pt idx="5">
                  <c:v>6.5999999999999988</c:v>
                </c:pt>
                <c:pt idx="6">
                  <c:v>6.5999999999999988</c:v>
                </c:pt>
                <c:pt idx="7">
                  <c:v>6.253333333333333</c:v>
                </c:pt>
              </c:numCache>
            </c:numRef>
          </c:val>
          <c:extLst xmlns:c16r2="http://schemas.microsoft.com/office/drawing/2015/06/chart">
            <c:ext xmlns:c16="http://schemas.microsoft.com/office/drawing/2014/chart" uri="{C3380CC4-5D6E-409C-BE32-E72D297353CC}">
              <c16:uniqueId val="{0000002C-1B12-491E-B95E-9B3E7FB8EE86}"/>
            </c:ext>
          </c:extLst>
        </c:ser>
        <c:dLbls>
          <c:dLblPos val="outEnd"/>
          <c:showLegendKey val="0"/>
          <c:showVal val="1"/>
          <c:showCatName val="0"/>
          <c:showSerName val="0"/>
          <c:showPercent val="0"/>
          <c:showBubbleSize val="0"/>
        </c:dLbls>
        <c:gapWidth val="150"/>
        <c:axId val="515120512"/>
        <c:axId val="515116200"/>
      </c:barChart>
      <c:catAx>
        <c:axId val="515120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Sampling</a:t>
                </a:r>
                <a:r>
                  <a:rPr lang="en-US" baseline="0"/>
                  <a:t> Date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116200"/>
        <c:crosses val="autoZero"/>
        <c:auto val="1"/>
        <c:lblAlgn val="ctr"/>
        <c:lblOffset val="100"/>
        <c:noMultiLvlLbl val="0"/>
      </c:catAx>
      <c:valAx>
        <c:axId val="515116200"/>
        <c:scaling>
          <c:orientation val="minMax"/>
          <c:max val="6.8"/>
          <c:min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Soil 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12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EC!$A$2</c:f>
              <c:strCache>
                <c:ptCount val="1"/>
                <c:pt idx="0">
                  <c:v>Control</c:v>
                </c:pt>
              </c:strCache>
            </c:strRef>
          </c:tx>
          <c:spPr>
            <a:solidFill>
              <a:schemeClr val="dk1">
                <a:tint val="88500"/>
              </a:schemeClr>
            </a:solidFill>
            <a:ln>
              <a:noFill/>
            </a:ln>
            <a:effectLst/>
          </c:spPr>
          <c:invertIfNegative val="0"/>
          <c:dLbls>
            <c:dLbl>
              <c:idx val="0"/>
              <c:layout>
                <c:manualLayout>
                  <c:x val="-7.8455986191746426E-3"/>
                  <c:y val="-2.1097046413502109E-2"/>
                </c:manualLayout>
              </c:layout>
              <c:tx>
                <c:rich>
                  <a:bodyPr/>
                  <a:lstStyle/>
                  <a:p>
                    <a:r>
                      <a:rPr lang="en-US"/>
                      <a:t>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827-49A2-B252-B1B8D5A2BF6D}"/>
                </c:ext>
                <c:ext xmlns:c15="http://schemas.microsoft.com/office/drawing/2012/chart" uri="{CE6537A1-D6FC-4f65-9D91-7224C49458BB}"/>
              </c:extLst>
            </c:dLbl>
            <c:dLbl>
              <c:idx val="1"/>
              <c:layout>
                <c:manualLayout>
                  <c:x val="-7.8455986191746426E-3"/>
                  <c:y val="-1.5822784810126583E-2"/>
                </c:manualLayout>
              </c:layout>
              <c:tx>
                <c:rich>
                  <a:bodyPr/>
                  <a:lstStyle/>
                  <a:p>
                    <a:r>
                      <a:rPr lang="en-US"/>
                      <a:t>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827-49A2-B252-B1B8D5A2BF6D}"/>
                </c:ext>
                <c:ext xmlns:c15="http://schemas.microsoft.com/office/drawing/2012/chart" uri="{CE6537A1-D6FC-4f65-9D91-7224C49458BB}"/>
              </c:extLst>
            </c:dLbl>
            <c:dLbl>
              <c:idx val="2"/>
              <c:layout>
                <c:manualLayout>
                  <c:x val="-1.5691197238349862E-3"/>
                  <c:y val="-7.9113924050632917E-3"/>
                </c:manualLayout>
              </c:layout>
              <c:tx>
                <c:rich>
                  <a:bodyPr/>
                  <a:lstStyle/>
                  <a:p>
                    <a:r>
                      <a:rPr lang="en-US"/>
                      <a:t>DEFG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827-49A2-B252-B1B8D5A2BF6D}"/>
                </c:ext>
                <c:ext xmlns:c15="http://schemas.microsoft.com/office/drawing/2012/chart" uri="{CE6537A1-D6FC-4f65-9D91-7224C49458BB}"/>
              </c:extLst>
            </c:dLbl>
            <c:dLbl>
              <c:idx val="3"/>
              <c:tx>
                <c:rich>
                  <a:bodyPr/>
                  <a:lstStyle/>
                  <a:p>
                    <a:r>
                      <a:rPr lang="en-US"/>
                      <a:t>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827-49A2-B252-B1B8D5A2BF6D}"/>
                </c:ext>
                <c:ext xmlns:c15="http://schemas.microsoft.com/office/drawing/2012/chart" uri="{CE6537A1-D6FC-4f65-9D91-7224C49458BB}"/>
              </c:extLst>
            </c:dLbl>
            <c:dLbl>
              <c:idx val="4"/>
              <c:tx>
                <c:rich>
                  <a:bodyPr/>
                  <a:lstStyle/>
                  <a:p>
                    <a:r>
                      <a:rPr lang="en-US"/>
                      <a:t>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827-49A2-B252-B1B8D5A2BF6D}"/>
                </c:ext>
                <c:ext xmlns:c15="http://schemas.microsoft.com/office/drawing/2012/chart" uri="{CE6537A1-D6FC-4f65-9D91-7224C49458BB}"/>
              </c:extLst>
            </c:dLbl>
            <c:dLbl>
              <c:idx val="5"/>
              <c:tx>
                <c:rich>
                  <a:bodyPr/>
                  <a:lstStyle/>
                  <a:p>
                    <a:r>
                      <a:rPr lang="en-US"/>
                      <a:t>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827-49A2-B252-B1B8D5A2BF6D}"/>
                </c:ext>
                <c:ext xmlns:c15="http://schemas.microsoft.com/office/drawing/2012/chart" uri="{CE6537A1-D6FC-4f65-9D91-7224C49458BB}"/>
              </c:extLst>
            </c:dLbl>
            <c:dLbl>
              <c:idx val="6"/>
              <c:tx>
                <c:rich>
                  <a:bodyPr/>
                  <a:lstStyle/>
                  <a:p>
                    <a:r>
                      <a:rPr lang="en-US"/>
                      <a:t>DE</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827-49A2-B252-B1B8D5A2BF6D}"/>
                </c:ext>
                <c:ext xmlns:c15="http://schemas.microsoft.com/office/drawing/2012/chart" uri="{CE6537A1-D6FC-4f65-9D91-7224C49458BB}"/>
              </c:extLst>
            </c:dLbl>
            <c:dLbl>
              <c:idx val="7"/>
              <c:layout>
                <c:manualLayout>
                  <c:x val="-6.2764788953398295E-3"/>
                  <c:y val="-1.5822784810126583E-2"/>
                </c:manualLayout>
              </c:layout>
              <c:tx>
                <c:rich>
                  <a:bodyPr/>
                  <a:lstStyle/>
                  <a:p>
                    <a:r>
                      <a:rPr lang="en-US"/>
                      <a:t>BC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827-49A2-B252-B1B8D5A2BF6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(EC!$B$1,EC!$D$1,EC!$F$1,EC!$H$1,EC!$J$1,EC!$L$1,EC!$N$1,EC!$P$1)</c:f>
              <c:strCache>
                <c:ptCount val="8"/>
                <c:pt idx="0">
                  <c:v>2014-Mar</c:v>
                </c:pt>
                <c:pt idx="1">
                  <c:v>2014-Apr</c:v>
                </c:pt>
                <c:pt idx="2">
                  <c:v>2014-Aug</c:v>
                </c:pt>
                <c:pt idx="3">
                  <c:v>2014-Nov</c:v>
                </c:pt>
                <c:pt idx="4">
                  <c:v>2015-Mar</c:v>
                </c:pt>
                <c:pt idx="5">
                  <c:v>2015-Apr</c:v>
                </c:pt>
                <c:pt idx="6">
                  <c:v>2015-Aug</c:v>
                </c:pt>
                <c:pt idx="7">
                  <c:v>2015-Nov</c:v>
                </c:pt>
              </c:strCache>
            </c:strRef>
          </c:cat>
          <c:val>
            <c:numRef>
              <c:f>(EC!$B$2,EC!$D$2,EC!$F$2,EC!$H$2,EC!$J$2,EC!$L$2,EC!$N$2,EC!$P$2)</c:f>
              <c:numCache>
                <c:formatCode>0.0</c:formatCode>
                <c:ptCount val="8"/>
                <c:pt idx="0">
                  <c:v>136.66666666666666</c:v>
                </c:pt>
                <c:pt idx="1">
                  <c:v>135.66666666666666</c:v>
                </c:pt>
                <c:pt idx="2">
                  <c:v>148</c:v>
                </c:pt>
                <c:pt idx="3">
                  <c:v>139</c:v>
                </c:pt>
                <c:pt idx="4">
                  <c:v>134.66666666666666</c:v>
                </c:pt>
                <c:pt idx="5">
                  <c:v>123.33333333333333</c:v>
                </c:pt>
                <c:pt idx="6">
                  <c:v>161.33333333333334</c:v>
                </c:pt>
                <c:pt idx="7">
                  <c:v>218</c:v>
                </c:pt>
              </c:numCache>
            </c:numRef>
          </c:val>
          <c:extLst xmlns:c16r2="http://schemas.microsoft.com/office/drawing/2015/06/chart">
            <c:ext xmlns:c16="http://schemas.microsoft.com/office/drawing/2014/chart" uri="{C3380CC4-5D6E-409C-BE32-E72D297353CC}">
              <c16:uniqueId val="{00000008-3827-49A2-B252-B1B8D5A2BF6D}"/>
            </c:ext>
          </c:extLst>
        </c:ser>
        <c:ser>
          <c:idx val="1"/>
          <c:order val="1"/>
          <c:tx>
            <c:strRef>
              <c:f>EC!$A$3</c:f>
              <c:strCache>
                <c:ptCount val="1"/>
                <c:pt idx="0">
                  <c:v>Winter Peas</c:v>
                </c:pt>
              </c:strCache>
            </c:strRef>
          </c:tx>
          <c:spPr>
            <a:solidFill>
              <a:schemeClr val="dk1">
                <a:tint val="55000"/>
              </a:schemeClr>
            </a:solidFill>
            <a:ln>
              <a:noFill/>
            </a:ln>
            <a:effectLst/>
          </c:spPr>
          <c:invertIfNegative val="0"/>
          <c:dLbls>
            <c:dLbl>
              <c:idx val="0"/>
              <c:layout>
                <c:manualLayout>
                  <c:x val="-7.8455986191746426E-3"/>
                  <c:y val="-2.3734177215189969E-2"/>
                </c:manualLayout>
              </c:layout>
              <c:tx>
                <c:rich>
                  <a:bodyPr/>
                  <a:lstStyle/>
                  <a:p>
                    <a:r>
                      <a:rPr lang="en-US"/>
                      <a:t>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827-49A2-B252-B1B8D5A2BF6D}"/>
                </c:ext>
                <c:ext xmlns:c15="http://schemas.microsoft.com/office/drawing/2012/chart" uri="{CE6537A1-D6FC-4f65-9D91-7224C49458BB}"/>
              </c:extLst>
            </c:dLbl>
            <c:dLbl>
              <c:idx val="1"/>
              <c:tx>
                <c:rich>
                  <a:bodyPr/>
                  <a:lstStyle/>
                  <a:p>
                    <a:r>
                      <a:rPr lang="en-US"/>
                      <a:t>CD</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827-49A2-B252-B1B8D5A2BF6D}"/>
                </c:ext>
                <c:ext xmlns:c15="http://schemas.microsoft.com/office/drawing/2012/chart" uri="{CE6537A1-D6FC-4f65-9D91-7224C49458BB}"/>
              </c:extLst>
            </c:dLbl>
            <c:dLbl>
              <c:idx val="2"/>
              <c:tx>
                <c:rich>
                  <a:bodyPr/>
                  <a:lstStyle/>
                  <a:p>
                    <a:r>
                      <a:rPr lang="en-US"/>
                      <a:t>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827-49A2-B252-B1B8D5A2BF6D}"/>
                </c:ext>
                <c:ext xmlns:c15="http://schemas.microsoft.com/office/drawing/2012/chart" uri="{CE6537A1-D6FC-4f65-9D91-7224C49458BB}"/>
              </c:extLst>
            </c:dLbl>
            <c:dLbl>
              <c:idx val="3"/>
              <c:layout>
                <c:manualLayout>
                  <c:x val="-1.5691197238349285E-3"/>
                  <c:y val="-2.9008438818565498E-2"/>
                </c:manualLayout>
              </c:layout>
              <c:tx>
                <c:rich>
                  <a:bodyPr/>
                  <a:lstStyle/>
                  <a:p>
                    <a:r>
                      <a:rPr lang="en-US"/>
                      <a:t>DEFG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827-49A2-B252-B1B8D5A2BF6D}"/>
                </c:ext>
                <c:ext xmlns:c15="http://schemas.microsoft.com/office/drawing/2012/chart" uri="{CE6537A1-D6FC-4f65-9D91-7224C49458BB}"/>
              </c:extLst>
            </c:dLbl>
            <c:dLbl>
              <c:idx val="4"/>
              <c:tx>
                <c:rich>
                  <a:bodyPr/>
                  <a:lstStyle/>
                  <a:p>
                    <a:r>
                      <a:rPr lang="en-US"/>
                      <a:t>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827-49A2-B252-B1B8D5A2BF6D}"/>
                </c:ext>
                <c:ext xmlns:c15="http://schemas.microsoft.com/office/drawing/2012/chart" uri="{CE6537A1-D6FC-4f65-9D91-7224C49458BB}"/>
              </c:extLst>
            </c:dLbl>
            <c:dLbl>
              <c:idx val="5"/>
              <c:tx>
                <c:rich>
                  <a:bodyPr/>
                  <a:lstStyle/>
                  <a:p>
                    <a:r>
                      <a:rPr lang="en-US"/>
                      <a:t>DEFG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827-49A2-B252-B1B8D5A2BF6D}"/>
                </c:ext>
                <c:ext xmlns:c15="http://schemas.microsoft.com/office/drawing/2012/chart" uri="{CE6537A1-D6FC-4f65-9D91-7224C49458BB}"/>
              </c:extLst>
            </c:dLbl>
            <c:dLbl>
              <c:idx val="6"/>
              <c:tx>
                <c:rich>
                  <a:bodyPr/>
                  <a:lstStyle/>
                  <a:p>
                    <a:r>
                      <a:rPr lang="en-US"/>
                      <a:t>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827-49A2-B252-B1B8D5A2BF6D}"/>
                </c:ext>
                <c:ext xmlns:c15="http://schemas.microsoft.com/office/drawing/2012/chart" uri="{CE6537A1-D6FC-4f65-9D91-7224C49458BB}"/>
              </c:extLst>
            </c:dLbl>
            <c:dLbl>
              <c:idx val="7"/>
              <c:layout>
                <c:manualLayout>
                  <c:x val="-3.138239447669857E-3"/>
                  <c:y val="-2.6371308016877638E-2"/>
                </c:manualLayout>
              </c:layout>
              <c:tx>
                <c:rich>
                  <a:bodyPr/>
                  <a:lstStyle/>
                  <a:p>
                    <a:r>
                      <a:rPr lang="en-US"/>
                      <a:t>BC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3827-49A2-B252-B1B8D5A2BF6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(EC!$B$1,EC!$D$1,EC!$F$1,EC!$H$1,EC!$J$1,EC!$L$1,EC!$N$1,EC!$P$1)</c:f>
              <c:strCache>
                <c:ptCount val="8"/>
                <c:pt idx="0">
                  <c:v>2014-Mar</c:v>
                </c:pt>
                <c:pt idx="1">
                  <c:v>2014-Apr</c:v>
                </c:pt>
                <c:pt idx="2">
                  <c:v>2014-Aug</c:v>
                </c:pt>
                <c:pt idx="3">
                  <c:v>2014-Nov</c:v>
                </c:pt>
                <c:pt idx="4">
                  <c:v>2015-Mar</c:v>
                </c:pt>
                <c:pt idx="5">
                  <c:v>2015-Apr</c:v>
                </c:pt>
                <c:pt idx="6">
                  <c:v>2015-Aug</c:v>
                </c:pt>
                <c:pt idx="7">
                  <c:v>2015-Nov</c:v>
                </c:pt>
              </c:strCache>
            </c:strRef>
          </c:cat>
          <c:val>
            <c:numRef>
              <c:f>(EC!$B$3,EC!$D$3,EC!$F$3,EC!$H$3,EC!$J$3,EC!$L$3,EC!$N$3,EC!$P$3)</c:f>
              <c:numCache>
                <c:formatCode>0.0</c:formatCode>
                <c:ptCount val="8"/>
                <c:pt idx="0">
                  <c:v>128.33333333333334</c:v>
                </c:pt>
                <c:pt idx="1">
                  <c:v>183.66666666666666</c:v>
                </c:pt>
                <c:pt idx="2">
                  <c:v>144</c:v>
                </c:pt>
                <c:pt idx="3">
                  <c:v>147.33333333333334</c:v>
                </c:pt>
                <c:pt idx="4">
                  <c:v>143</c:v>
                </c:pt>
                <c:pt idx="5">
                  <c:v>157.66666666666666</c:v>
                </c:pt>
                <c:pt idx="6">
                  <c:v>143.33333333333334</c:v>
                </c:pt>
                <c:pt idx="7">
                  <c:v>208.33333333333334</c:v>
                </c:pt>
              </c:numCache>
            </c:numRef>
          </c:val>
          <c:extLst xmlns:c16r2="http://schemas.microsoft.com/office/drawing/2015/06/chart">
            <c:ext xmlns:c16="http://schemas.microsoft.com/office/drawing/2014/chart" uri="{C3380CC4-5D6E-409C-BE32-E72D297353CC}">
              <c16:uniqueId val="{00000011-3827-49A2-B252-B1B8D5A2BF6D}"/>
            </c:ext>
          </c:extLst>
        </c:ser>
        <c:ser>
          <c:idx val="2"/>
          <c:order val="2"/>
          <c:tx>
            <c:strRef>
              <c:f>EC!$A$4</c:f>
              <c:strCache>
                <c:ptCount val="1"/>
                <c:pt idx="0">
                  <c:v>Bell Beans</c:v>
                </c:pt>
              </c:strCache>
            </c:strRef>
          </c:tx>
          <c:spPr>
            <a:solidFill>
              <a:schemeClr val="dk1">
                <a:tint val="75000"/>
              </a:schemeClr>
            </a:solidFill>
            <a:ln>
              <a:noFill/>
            </a:ln>
            <a:effectLst/>
          </c:spPr>
          <c:invertIfNegative val="0"/>
          <c:dLbls>
            <c:dLbl>
              <c:idx val="0"/>
              <c:layout>
                <c:manualLayout>
                  <c:x val="-1.4383431309860969E-17"/>
                  <c:y val="-1.0548523206751054E-2"/>
                </c:manualLayout>
              </c:layout>
              <c:tx>
                <c:rich>
                  <a:bodyPr/>
                  <a:lstStyle/>
                  <a:p>
                    <a:r>
                      <a:rPr lang="en-US"/>
                      <a:t>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3827-49A2-B252-B1B8D5A2BF6D}"/>
                </c:ext>
                <c:ext xmlns:c15="http://schemas.microsoft.com/office/drawing/2012/chart" uri="{CE6537A1-D6FC-4f65-9D91-7224C49458BB}"/>
              </c:extLst>
            </c:dLbl>
            <c:dLbl>
              <c:idx val="1"/>
              <c:layout>
                <c:manualLayout>
                  <c:x val="0"/>
                  <c:y val="-3.6919831223628692E-2"/>
                </c:manualLayout>
              </c:layout>
              <c:tx>
                <c:rich>
                  <a:bodyPr/>
                  <a:lstStyle/>
                  <a:p>
                    <a:r>
                      <a:rPr lang="en-US"/>
                      <a:t>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3827-49A2-B252-B1B8D5A2BF6D}"/>
                </c:ext>
                <c:ext xmlns:c15="http://schemas.microsoft.com/office/drawing/2012/chart" uri="{CE6537A1-D6FC-4f65-9D91-7224C49458BB}"/>
              </c:extLst>
            </c:dLbl>
            <c:dLbl>
              <c:idx val="2"/>
              <c:tx>
                <c:rich>
                  <a:bodyPr/>
                  <a:lstStyle/>
                  <a:p>
                    <a:r>
                      <a:rPr lang="en-US"/>
                      <a:t>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3827-49A2-B252-B1B8D5A2BF6D}"/>
                </c:ext>
                <c:ext xmlns:c15="http://schemas.microsoft.com/office/drawing/2012/chart" uri="{CE6537A1-D6FC-4f65-9D91-7224C49458BB}"/>
              </c:extLst>
            </c:dLbl>
            <c:dLbl>
              <c:idx val="3"/>
              <c:layout>
                <c:manualLayout>
                  <c:x val="-3.1382394476699147E-3"/>
                  <c:y val="-5.2742616033755272E-3"/>
                </c:manualLayout>
              </c:layout>
              <c:tx>
                <c:rich>
                  <a:bodyPr/>
                  <a:lstStyle/>
                  <a:p>
                    <a:r>
                      <a:rPr lang="en-US"/>
                      <a:t>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3827-49A2-B252-B1B8D5A2BF6D}"/>
                </c:ext>
                <c:ext xmlns:c15="http://schemas.microsoft.com/office/drawing/2012/chart" uri="{CE6537A1-D6FC-4f65-9D91-7224C49458BB}"/>
              </c:extLst>
            </c:dLbl>
            <c:dLbl>
              <c:idx val="4"/>
              <c:tx>
                <c:rich>
                  <a:bodyPr/>
                  <a:lstStyle/>
                  <a:p>
                    <a:r>
                      <a:rPr lang="en-US"/>
                      <a:t>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3827-49A2-B252-B1B8D5A2BF6D}"/>
                </c:ext>
                <c:ext xmlns:c15="http://schemas.microsoft.com/office/drawing/2012/chart" uri="{CE6537A1-D6FC-4f65-9D91-7224C49458BB}"/>
              </c:extLst>
            </c:dLbl>
            <c:dLbl>
              <c:idx val="5"/>
              <c:tx>
                <c:rich>
                  <a:bodyPr/>
                  <a:lstStyle/>
                  <a:p>
                    <a:r>
                      <a:rPr lang="en-US"/>
                      <a:t>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3827-49A2-B252-B1B8D5A2BF6D}"/>
                </c:ext>
                <c:ext xmlns:c15="http://schemas.microsoft.com/office/drawing/2012/chart" uri="{CE6537A1-D6FC-4f65-9D91-7224C49458BB}"/>
              </c:extLst>
            </c:dLbl>
            <c:dLbl>
              <c:idx val="6"/>
              <c:layout>
                <c:manualLayout>
                  <c:x val="-6.2764788953398295E-3"/>
                  <c:y val="0"/>
                </c:manualLayout>
              </c:layout>
              <c:tx>
                <c:rich>
                  <a:bodyPr/>
                  <a:lstStyle/>
                  <a:p>
                    <a:r>
                      <a:rPr lang="en-US"/>
                      <a:t>DEFG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3827-49A2-B252-B1B8D5A2BF6D}"/>
                </c:ext>
                <c:ext xmlns:c15="http://schemas.microsoft.com/office/drawing/2012/chart" uri="{CE6537A1-D6FC-4f65-9D91-7224C49458BB}"/>
              </c:extLst>
            </c:dLbl>
            <c:dLbl>
              <c:idx val="7"/>
              <c:layout>
                <c:manualLayout>
                  <c:x val="-3.1382394476699724E-3"/>
                  <c:y val="-5.2742616033755272E-3"/>
                </c:manualLayout>
              </c:layout>
              <c:tx>
                <c:rich>
                  <a:bodyPr/>
                  <a:lstStyle/>
                  <a:p>
                    <a:r>
                      <a:rPr lang="en-US"/>
                      <a:t>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3827-49A2-B252-B1B8D5A2BF6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(EC!$B$1,EC!$D$1,EC!$F$1,EC!$H$1,EC!$J$1,EC!$L$1,EC!$N$1,EC!$P$1)</c:f>
              <c:strCache>
                <c:ptCount val="8"/>
                <c:pt idx="0">
                  <c:v>2014-Mar</c:v>
                </c:pt>
                <c:pt idx="1">
                  <c:v>2014-Apr</c:v>
                </c:pt>
                <c:pt idx="2">
                  <c:v>2014-Aug</c:v>
                </c:pt>
                <c:pt idx="3">
                  <c:v>2014-Nov</c:v>
                </c:pt>
                <c:pt idx="4">
                  <c:v>2015-Mar</c:v>
                </c:pt>
                <c:pt idx="5">
                  <c:v>2015-Apr</c:v>
                </c:pt>
                <c:pt idx="6">
                  <c:v>2015-Aug</c:v>
                </c:pt>
                <c:pt idx="7">
                  <c:v>2015-Nov</c:v>
                </c:pt>
              </c:strCache>
            </c:strRef>
          </c:cat>
          <c:val>
            <c:numRef>
              <c:f>(EC!$B$4,EC!$D$4,EC!$F$4,EC!$H$4,EC!$J$4,EC!$L$4,EC!$N$4,EC!$P$4)</c:f>
              <c:numCache>
                <c:formatCode>0.0</c:formatCode>
                <c:ptCount val="8"/>
                <c:pt idx="0">
                  <c:v>138</c:v>
                </c:pt>
                <c:pt idx="1">
                  <c:v>136.33333333333334</c:v>
                </c:pt>
                <c:pt idx="2">
                  <c:v>134.33333333333334</c:v>
                </c:pt>
                <c:pt idx="3">
                  <c:v>142.66666666666666</c:v>
                </c:pt>
                <c:pt idx="4">
                  <c:v>127</c:v>
                </c:pt>
                <c:pt idx="5">
                  <c:v>131</c:v>
                </c:pt>
                <c:pt idx="6">
                  <c:v>153.33333333333334</c:v>
                </c:pt>
                <c:pt idx="7">
                  <c:v>223</c:v>
                </c:pt>
              </c:numCache>
            </c:numRef>
          </c:val>
          <c:extLst xmlns:c16r2="http://schemas.microsoft.com/office/drawing/2015/06/chart">
            <c:ext xmlns:c16="http://schemas.microsoft.com/office/drawing/2014/chart" uri="{C3380CC4-5D6E-409C-BE32-E72D297353CC}">
              <c16:uniqueId val="{0000001A-3827-49A2-B252-B1B8D5A2BF6D}"/>
            </c:ext>
          </c:extLst>
        </c:ser>
        <c:ser>
          <c:idx val="3"/>
          <c:order val="3"/>
          <c:tx>
            <c:strRef>
              <c:f>EC!$A$5</c:f>
              <c:strCache>
                <c:ptCount val="1"/>
                <c:pt idx="0">
                  <c:v>Mustard</c:v>
                </c:pt>
              </c:strCache>
            </c:strRef>
          </c:tx>
          <c:spPr>
            <a:solidFill>
              <a:schemeClr val="dk1">
                <a:tint val="98500"/>
              </a:schemeClr>
            </a:solidFill>
            <a:ln>
              <a:noFill/>
            </a:ln>
            <a:effectLst/>
          </c:spPr>
          <c:invertIfNegative val="0"/>
          <c:dLbls>
            <c:dLbl>
              <c:idx val="0"/>
              <c:layout>
                <c:manualLayout>
                  <c:x val="1.0983838066844472E-2"/>
                  <c:y val="-1.3185654008438819E-2"/>
                </c:manualLayout>
              </c:layout>
              <c:tx>
                <c:rich>
                  <a:bodyPr/>
                  <a:lstStyle/>
                  <a:p>
                    <a:r>
                      <a:rPr lang="en-US"/>
                      <a:t>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3827-49A2-B252-B1B8D5A2BF6D}"/>
                </c:ext>
                <c:ext xmlns:c15="http://schemas.microsoft.com/office/drawing/2012/chart" uri="{CE6537A1-D6FC-4f65-9D91-7224C49458BB}"/>
              </c:extLst>
            </c:dLbl>
            <c:dLbl>
              <c:idx val="1"/>
              <c:layout>
                <c:manualLayout>
                  <c:x val="-2.8766862619721939E-17"/>
                  <c:y val="-2.90084388185654E-2"/>
                </c:manualLayout>
              </c:layout>
              <c:tx>
                <c:rich>
                  <a:bodyPr/>
                  <a:lstStyle/>
                  <a:p>
                    <a:r>
                      <a:rPr lang="en-US"/>
                      <a:t>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3827-49A2-B252-B1B8D5A2BF6D}"/>
                </c:ext>
                <c:ext xmlns:c15="http://schemas.microsoft.com/office/drawing/2012/chart" uri="{CE6537A1-D6FC-4f65-9D91-7224C49458BB}"/>
              </c:extLst>
            </c:dLbl>
            <c:dLbl>
              <c:idx val="2"/>
              <c:tx>
                <c:rich>
                  <a:bodyPr/>
                  <a:lstStyle/>
                  <a:p>
                    <a:r>
                      <a:rPr lang="en-US"/>
                      <a:t>DEF</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3827-49A2-B252-B1B8D5A2BF6D}"/>
                </c:ext>
                <c:ext xmlns:c15="http://schemas.microsoft.com/office/drawing/2012/chart" uri="{CE6537A1-D6FC-4f65-9D91-7224C49458BB}"/>
              </c:extLst>
            </c:dLbl>
            <c:dLbl>
              <c:idx val="3"/>
              <c:tx>
                <c:rich>
                  <a:bodyPr/>
                  <a:lstStyle/>
                  <a:p>
                    <a:r>
                      <a:rPr lang="en-US"/>
                      <a:t>DEFG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3827-49A2-B252-B1B8D5A2BF6D}"/>
                </c:ext>
                <c:ext xmlns:c15="http://schemas.microsoft.com/office/drawing/2012/chart" uri="{CE6537A1-D6FC-4f65-9D91-7224C49458BB}"/>
              </c:extLst>
            </c:dLbl>
            <c:dLbl>
              <c:idx val="4"/>
              <c:tx>
                <c:rich>
                  <a:bodyPr/>
                  <a:lstStyle/>
                  <a:p>
                    <a:r>
                      <a:rPr lang="en-US"/>
                      <a:t>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3827-49A2-B252-B1B8D5A2BF6D}"/>
                </c:ext>
                <c:ext xmlns:c15="http://schemas.microsoft.com/office/drawing/2012/chart" uri="{CE6537A1-D6FC-4f65-9D91-7224C49458BB}"/>
              </c:extLst>
            </c:dLbl>
            <c:dLbl>
              <c:idx val="5"/>
              <c:layout>
                <c:manualLayout>
                  <c:x val="3.1382394476697421E-3"/>
                  <c:y val="0"/>
                </c:manualLayout>
              </c:layout>
              <c:tx>
                <c:rich>
                  <a:bodyPr/>
                  <a:lstStyle/>
                  <a:p>
                    <a:r>
                      <a:rPr lang="en-US"/>
                      <a:t>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3827-49A2-B252-B1B8D5A2BF6D}"/>
                </c:ext>
                <c:ext xmlns:c15="http://schemas.microsoft.com/office/drawing/2012/chart" uri="{CE6537A1-D6FC-4f65-9D91-7224C49458BB}"/>
              </c:extLst>
            </c:dLbl>
            <c:dLbl>
              <c:idx val="6"/>
              <c:layout>
                <c:manualLayout>
                  <c:x val="6.2764788953397141E-3"/>
                  <c:y val="-1.0548523206751006E-2"/>
                </c:manualLayout>
              </c:layout>
              <c:tx>
                <c:rich>
                  <a:bodyPr/>
                  <a:lstStyle/>
                  <a:p>
                    <a:r>
                      <a:rPr lang="en-US"/>
                      <a:t>DEFG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3827-49A2-B252-B1B8D5A2BF6D}"/>
                </c:ext>
                <c:ext xmlns:c15="http://schemas.microsoft.com/office/drawing/2012/chart" uri="{CE6537A1-D6FC-4f65-9D91-7224C49458BB}"/>
              </c:extLst>
            </c:dLbl>
            <c:dLbl>
              <c:idx val="7"/>
              <c:layout>
                <c:manualLayout>
                  <c:x val="-1.5691197238350437E-3"/>
                  <c:y val="-1.845991561181437E-2"/>
                </c:manualLayout>
              </c:layout>
              <c:tx>
                <c:rich>
                  <a:bodyPr/>
                  <a:lstStyle/>
                  <a:p>
                    <a:r>
                      <a:rPr lang="en-US"/>
                      <a:t>BC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3827-49A2-B252-B1B8D5A2BF6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(EC!$B$1,EC!$D$1,EC!$F$1,EC!$H$1,EC!$J$1,EC!$L$1,EC!$N$1,EC!$P$1)</c:f>
              <c:strCache>
                <c:ptCount val="8"/>
                <c:pt idx="0">
                  <c:v>2014-Mar</c:v>
                </c:pt>
                <c:pt idx="1">
                  <c:v>2014-Apr</c:v>
                </c:pt>
                <c:pt idx="2">
                  <c:v>2014-Aug</c:v>
                </c:pt>
                <c:pt idx="3">
                  <c:v>2014-Nov</c:v>
                </c:pt>
                <c:pt idx="4">
                  <c:v>2015-Mar</c:v>
                </c:pt>
                <c:pt idx="5">
                  <c:v>2015-Apr</c:v>
                </c:pt>
                <c:pt idx="6">
                  <c:v>2015-Aug</c:v>
                </c:pt>
                <c:pt idx="7">
                  <c:v>2015-Nov</c:v>
                </c:pt>
              </c:strCache>
            </c:strRef>
          </c:cat>
          <c:val>
            <c:numRef>
              <c:f>(EC!$B$5,EC!$D$5,EC!$F$5,EC!$H$5,EC!$J$5,EC!$L$5,EC!$N$5,EC!$P$5)</c:f>
              <c:numCache>
                <c:formatCode>0.0</c:formatCode>
                <c:ptCount val="8"/>
                <c:pt idx="0">
                  <c:v>131</c:v>
                </c:pt>
                <c:pt idx="1">
                  <c:v>128</c:v>
                </c:pt>
                <c:pt idx="2">
                  <c:v>160</c:v>
                </c:pt>
                <c:pt idx="3">
                  <c:v>151</c:v>
                </c:pt>
                <c:pt idx="4">
                  <c:v>120.66666666666667</c:v>
                </c:pt>
                <c:pt idx="5">
                  <c:v>122</c:v>
                </c:pt>
                <c:pt idx="6">
                  <c:v>156.33333333333334</c:v>
                </c:pt>
                <c:pt idx="7">
                  <c:v>213.66666666666666</c:v>
                </c:pt>
              </c:numCache>
            </c:numRef>
          </c:val>
          <c:extLst xmlns:c16r2="http://schemas.microsoft.com/office/drawing/2015/06/chart">
            <c:ext xmlns:c16="http://schemas.microsoft.com/office/drawing/2014/chart" uri="{C3380CC4-5D6E-409C-BE32-E72D297353CC}">
              <c16:uniqueId val="{00000023-3827-49A2-B252-B1B8D5A2BF6D}"/>
            </c:ext>
          </c:extLst>
        </c:ser>
        <c:ser>
          <c:idx val="4"/>
          <c:order val="4"/>
          <c:tx>
            <c:strRef>
              <c:f>EC!$A$6</c:f>
              <c:strCache>
                <c:ptCount val="1"/>
                <c:pt idx="0">
                  <c:v>Radish</c:v>
                </c:pt>
              </c:strCache>
            </c:strRef>
          </c:tx>
          <c:spPr>
            <a:solidFill>
              <a:schemeClr val="dk1">
                <a:tint val="30000"/>
              </a:schemeClr>
            </a:solidFill>
            <a:ln>
              <a:noFill/>
            </a:ln>
            <a:effectLst/>
          </c:spPr>
          <c:invertIfNegative val="0"/>
          <c:dLbls>
            <c:dLbl>
              <c:idx val="0"/>
              <c:layout>
                <c:manualLayout>
                  <c:x val="9.4147183430095434E-3"/>
                  <c:y val="-5.2742616033755272E-3"/>
                </c:manualLayout>
              </c:layout>
              <c:tx>
                <c:rich>
                  <a:bodyPr/>
                  <a:lstStyle/>
                  <a:p>
                    <a:r>
                      <a:rPr lang="en-US"/>
                      <a:t>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3827-49A2-B252-B1B8D5A2BF6D}"/>
                </c:ext>
                <c:ext xmlns:c15="http://schemas.microsoft.com/office/drawing/2012/chart" uri="{CE6537A1-D6FC-4f65-9D91-7224C49458BB}"/>
              </c:extLst>
            </c:dLbl>
            <c:dLbl>
              <c:idx val="1"/>
              <c:tx>
                <c:rich>
                  <a:bodyPr/>
                  <a:lstStyle/>
                  <a:p>
                    <a:r>
                      <a:rPr lang="en-US"/>
                      <a:t>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3827-49A2-B252-B1B8D5A2BF6D}"/>
                </c:ext>
                <c:ext xmlns:c15="http://schemas.microsoft.com/office/drawing/2012/chart" uri="{CE6537A1-D6FC-4f65-9D91-7224C49458BB}"/>
              </c:extLst>
            </c:dLbl>
            <c:dLbl>
              <c:idx val="2"/>
              <c:layout>
                <c:manualLayout>
                  <c:x val="1.4122077514514357E-2"/>
                  <c:y val="-7.9113924050632917E-3"/>
                </c:manualLayout>
              </c:layout>
              <c:tx>
                <c:rich>
                  <a:bodyPr/>
                  <a:lstStyle/>
                  <a:p>
                    <a:r>
                      <a:rPr lang="en-US"/>
                      <a:t>DEFG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3827-49A2-B252-B1B8D5A2BF6D}"/>
                </c:ext>
                <c:ext xmlns:c15="http://schemas.microsoft.com/office/drawing/2012/chart" uri="{CE6537A1-D6FC-4f65-9D91-7224C49458BB}"/>
              </c:extLst>
            </c:dLbl>
            <c:dLbl>
              <c:idx val="3"/>
              <c:tx>
                <c:rich>
                  <a:bodyPr/>
                  <a:lstStyle/>
                  <a:p>
                    <a:r>
                      <a:rPr lang="en-US"/>
                      <a:t>DEFG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3827-49A2-B252-B1B8D5A2BF6D}"/>
                </c:ext>
                <c:ext xmlns:c15="http://schemas.microsoft.com/office/drawing/2012/chart" uri="{CE6537A1-D6FC-4f65-9D91-7224C49458BB}"/>
              </c:extLst>
            </c:dLbl>
            <c:dLbl>
              <c:idx val="4"/>
              <c:tx>
                <c:rich>
                  <a:bodyPr/>
                  <a:lstStyle/>
                  <a:p>
                    <a:r>
                      <a:rPr lang="en-US"/>
                      <a:t>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8-3827-49A2-B252-B1B8D5A2BF6D}"/>
                </c:ext>
                <c:ext xmlns:c15="http://schemas.microsoft.com/office/drawing/2012/chart" uri="{CE6537A1-D6FC-4f65-9D91-7224C49458BB}"/>
              </c:extLst>
            </c:dLbl>
            <c:dLbl>
              <c:idx val="5"/>
              <c:layout>
                <c:manualLayout>
                  <c:x val="9.4147183430095711E-3"/>
                  <c:y val="-7.9113924050632917E-3"/>
                </c:manualLayout>
              </c:layout>
              <c:tx>
                <c:rich>
                  <a:bodyPr/>
                  <a:lstStyle/>
                  <a:p>
                    <a:r>
                      <a:rPr lang="en-US"/>
                      <a:t>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3827-49A2-B252-B1B8D5A2BF6D}"/>
                </c:ext>
                <c:ext xmlns:c15="http://schemas.microsoft.com/office/drawing/2012/chart" uri="{CE6537A1-D6FC-4f65-9D91-7224C49458BB}"/>
              </c:extLst>
            </c:dLbl>
            <c:dLbl>
              <c:idx val="6"/>
              <c:layout>
                <c:manualLayout>
                  <c:x val="6.2764788953397141E-3"/>
                  <c:y val="0"/>
                </c:manualLayout>
              </c:layout>
              <c:tx>
                <c:rich>
                  <a:bodyPr/>
                  <a:lstStyle/>
                  <a:p>
                    <a:r>
                      <a:rPr lang="en-US"/>
                      <a:t>EFG</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A-3827-49A2-B252-B1B8D5A2BF6D}"/>
                </c:ext>
                <c:ext xmlns:c15="http://schemas.microsoft.com/office/drawing/2012/chart" uri="{CE6537A1-D6FC-4f65-9D91-7224C49458BB}"/>
              </c:extLst>
            </c:dLbl>
            <c:dLbl>
              <c:idx val="7"/>
              <c:tx>
                <c:rich>
                  <a:bodyPr/>
                  <a:lstStyle/>
                  <a:p>
                    <a:r>
                      <a:rPr lang="en-US"/>
                      <a:t>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B-3827-49A2-B252-B1B8D5A2BF6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(EC!$B$1,EC!$D$1,EC!$F$1,EC!$H$1,EC!$J$1,EC!$L$1,EC!$N$1,EC!$P$1)</c:f>
              <c:strCache>
                <c:ptCount val="8"/>
                <c:pt idx="0">
                  <c:v>2014-Mar</c:v>
                </c:pt>
                <c:pt idx="1">
                  <c:v>2014-Apr</c:v>
                </c:pt>
                <c:pt idx="2">
                  <c:v>2014-Aug</c:v>
                </c:pt>
                <c:pt idx="3">
                  <c:v>2014-Nov</c:v>
                </c:pt>
                <c:pt idx="4">
                  <c:v>2015-Mar</c:v>
                </c:pt>
                <c:pt idx="5">
                  <c:v>2015-Apr</c:v>
                </c:pt>
                <c:pt idx="6">
                  <c:v>2015-Aug</c:v>
                </c:pt>
                <c:pt idx="7">
                  <c:v>2015-Nov</c:v>
                </c:pt>
              </c:strCache>
            </c:strRef>
          </c:cat>
          <c:val>
            <c:numRef>
              <c:f>(EC!$B$6,EC!$D$6,EC!$F$6,EC!$H$6,EC!$J$6,EC!$L$6,EC!$N$6,EC!$P$6)</c:f>
              <c:numCache>
                <c:formatCode>0.0</c:formatCode>
                <c:ptCount val="8"/>
                <c:pt idx="0">
                  <c:v>126.33333333333333</c:v>
                </c:pt>
                <c:pt idx="1">
                  <c:v>143.33333333333334</c:v>
                </c:pt>
                <c:pt idx="2">
                  <c:v>152</c:v>
                </c:pt>
                <c:pt idx="3">
                  <c:v>156.33333333333334</c:v>
                </c:pt>
                <c:pt idx="4">
                  <c:v>128.66666666666666</c:v>
                </c:pt>
                <c:pt idx="5">
                  <c:v>122.33333333333333</c:v>
                </c:pt>
                <c:pt idx="6">
                  <c:v>131</c:v>
                </c:pt>
                <c:pt idx="7">
                  <c:v>263</c:v>
                </c:pt>
              </c:numCache>
            </c:numRef>
          </c:val>
          <c:extLst xmlns:c16r2="http://schemas.microsoft.com/office/drawing/2015/06/chart">
            <c:ext xmlns:c16="http://schemas.microsoft.com/office/drawing/2014/chart" uri="{C3380CC4-5D6E-409C-BE32-E72D297353CC}">
              <c16:uniqueId val="{0000002C-3827-49A2-B252-B1B8D5A2BF6D}"/>
            </c:ext>
          </c:extLst>
        </c:ser>
        <c:dLbls>
          <c:dLblPos val="outEnd"/>
          <c:showLegendKey val="0"/>
          <c:showVal val="1"/>
          <c:showCatName val="0"/>
          <c:showSerName val="0"/>
          <c:showPercent val="0"/>
          <c:showBubbleSize val="0"/>
        </c:dLbls>
        <c:gapWidth val="150"/>
        <c:axId val="515117768"/>
        <c:axId val="515118160"/>
      </c:barChart>
      <c:catAx>
        <c:axId val="515117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Sampling 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5118160"/>
        <c:crosses val="autoZero"/>
        <c:auto val="1"/>
        <c:lblAlgn val="ctr"/>
        <c:lblOffset val="100"/>
        <c:noMultiLvlLbl val="0"/>
      </c:catAx>
      <c:valAx>
        <c:axId val="515118160"/>
        <c:scaling>
          <c:orientation val="minMax"/>
          <c:max val="280"/>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Soil EC (dS/m)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511776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Graph!$B$1</c:f>
              <c:strCache>
                <c:ptCount val="1"/>
                <c:pt idx="0">
                  <c:v>SPAD</c:v>
                </c:pt>
              </c:strCache>
            </c:strRef>
          </c:tx>
          <c:spPr>
            <a:solidFill>
              <a:schemeClr val="accent1"/>
            </a:solid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Graph!$A$2:$A$6</c:f>
              <c:strCache>
                <c:ptCount val="5"/>
                <c:pt idx="0">
                  <c:v>Control</c:v>
                </c:pt>
                <c:pt idx="1">
                  <c:v>Winter Peas</c:v>
                </c:pt>
                <c:pt idx="2">
                  <c:v>Bell Beans</c:v>
                </c:pt>
                <c:pt idx="3">
                  <c:v>Mustard</c:v>
                </c:pt>
                <c:pt idx="4">
                  <c:v>Radish</c:v>
                </c:pt>
              </c:strCache>
            </c:strRef>
          </c:cat>
          <c:val>
            <c:numRef>
              <c:f>Graph!$B$2:$B$6</c:f>
              <c:numCache>
                <c:formatCode>0.00</c:formatCode>
                <c:ptCount val="5"/>
                <c:pt idx="0">
                  <c:v>48.52</c:v>
                </c:pt>
                <c:pt idx="1">
                  <c:v>51.408000000000001</c:v>
                </c:pt>
                <c:pt idx="2">
                  <c:v>49.88</c:v>
                </c:pt>
                <c:pt idx="3">
                  <c:v>47.996699999999997</c:v>
                </c:pt>
                <c:pt idx="4">
                  <c:v>49.661999999999999</c:v>
                </c:pt>
              </c:numCache>
            </c:numRef>
          </c:val>
        </c:ser>
        <c:dLbls>
          <c:dLblPos val="outEnd"/>
          <c:showLegendKey val="0"/>
          <c:showVal val="1"/>
          <c:showCatName val="0"/>
          <c:showSerName val="0"/>
          <c:showPercent val="0"/>
          <c:showBubbleSize val="0"/>
        </c:dLbls>
        <c:gapWidth val="219"/>
        <c:overlap val="-27"/>
        <c:axId val="515115024"/>
        <c:axId val="515119728"/>
      </c:barChart>
      <c:catAx>
        <c:axId val="515115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Cover</a:t>
                </a:r>
                <a:r>
                  <a:rPr lang="en-US" baseline="0"/>
                  <a:t> Crop Treatment</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119728"/>
        <c:crosses val="autoZero"/>
        <c:auto val="1"/>
        <c:lblAlgn val="ctr"/>
        <c:lblOffset val="100"/>
        <c:noMultiLvlLbl val="0"/>
      </c:catAx>
      <c:valAx>
        <c:axId val="515119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Cholorphyll</a:t>
                </a:r>
                <a:r>
                  <a:rPr lang="en-US" baseline="0"/>
                  <a:t> Estimate (SPAD Units)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115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1"/>
          <c:tx>
            <c:strRef>
              <c:f>Summary!$B$3</c:f>
              <c:strCache>
                <c:ptCount val="1"/>
                <c:pt idx="0">
                  <c:v>Control</c:v>
                </c:pt>
              </c:strCache>
            </c:strRef>
          </c:tx>
          <c:spPr>
            <a:solidFill>
              <a:schemeClr val="accent2"/>
            </a:solidFill>
            <a:ln>
              <a:noFill/>
            </a:ln>
            <a:effectLst/>
          </c:spPr>
          <c:invertIfNegative val="0"/>
          <c:dLbls>
            <c:dLbl>
              <c:idx val="0"/>
              <c:tx>
                <c:rich>
                  <a:bodyPr/>
                  <a:lstStyle/>
                  <a:p>
                    <a:r>
                      <a:rPr lang="en-US"/>
                      <a:t>NS</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Summary!$H$3:$I$3</c:f>
                <c:numCache>
                  <c:formatCode>General</c:formatCode>
                  <c:ptCount val="2"/>
                  <c:pt idx="0">
                    <c:v>8.8881944199999993E-2</c:v>
                  </c:pt>
                  <c:pt idx="1">
                    <c:v>0.19139836290000001</c:v>
                  </c:pt>
                </c:numCache>
              </c:numRef>
            </c:plus>
            <c:minus>
              <c:numRef>
                <c:f>Summary!$H$3:$I$3</c:f>
                <c:numCache>
                  <c:formatCode>General</c:formatCode>
                  <c:ptCount val="2"/>
                  <c:pt idx="0">
                    <c:v>8.8881944199999993E-2</c:v>
                  </c:pt>
                  <c:pt idx="1">
                    <c:v>0.19139836290000001</c:v>
                  </c:pt>
                </c:numCache>
              </c:numRef>
            </c:minus>
            <c:spPr>
              <a:noFill/>
              <a:ln w="9525" cap="flat" cmpd="sng" algn="ctr">
                <a:solidFill>
                  <a:schemeClr val="tx1">
                    <a:lumMod val="65000"/>
                    <a:lumOff val="35000"/>
                  </a:schemeClr>
                </a:solidFill>
                <a:round/>
              </a:ln>
              <a:effectLst/>
            </c:spPr>
          </c:errBars>
          <c:cat>
            <c:numRef>
              <c:f>Summary!$C$2:$D$2</c:f>
              <c:numCache>
                <c:formatCode>General</c:formatCode>
                <c:ptCount val="2"/>
                <c:pt idx="0">
                  <c:v>2014</c:v>
                </c:pt>
                <c:pt idx="1">
                  <c:v>2015</c:v>
                </c:pt>
              </c:numCache>
            </c:numRef>
          </c:cat>
          <c:val>
            <c:numRef>
              <c:f>Summary!$C$3:$D$3</c:f>
              <c:numCache>
                <c:formatCode>0.00</c:formatCode>
                <c:ptCount val="2"/>
                <c:pt idx="0">
                  <c:v>1.68</c:v>
                </c:pt>
                <c:pt idx="1">
                  <c:v>4</c:v>
                </c:pt>
              </c:numCache>
            </c:numRef>
          </c:val>
        </c:ser>
        <c:ser>
          <c:idx val="2"/>
          <c:order val="2"/>
          <c:tx>
            <c:strRef>
              <c:f>Summary!$B$4</c:f>
              <c:strCache>
                <c:ptCount val="1"/>
                <c:pt idx="0">
                  <c:v>Winter Pea</c:v>
                </c:pt>
              </c:strCache>
            </c:strRef>
          </c:tx>
          <c:spPr>
            <a:solidFill>
              <a:schemeClr val="accent3"/>
            </a:solidFill>
            <a:ln>
              <a:noFill/>
            </a:ln>
            <a:effectLst/>
          </c:spPr>
          <c:invertIfNegative val="0"/>
          <c:dLbls>
            <c:dLbl>
              <c:idx val="0"/>
              <c:delete val="1"/>
              <c:extLst>
                <c:ext xmlns:c15="http://schemas.microsoft.com/office/drawing/2012/chart" uri="{CE6537A1-D6FC-4f65-9D91-7224C49458BB}"/>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Summary!$H$4:$I$4</c:f>
                <c:numCache>
                  <c:formatCode>General</c:formatCode>
                  <c:ptCount val="2"/>
                  <c:pt idx="0">
                    <c:v>8.9628864399999994E-2</c:v>
                  </c:pt>
                  <c:pt idx="1">
                    <c:v>0.1137248141</c:v>
                  </c:pt>
                </c:numCache>
              </c:numRef>
            </c:plus>
            <c:minus>
              <c:numRef>
                <c:f>Summary!$H$4:$I$4</c:f>
                <c:numCache>
                  <c:formatCode>General</c:formatCode>
                  <c:ptCount val="2"/>
                  <c:pt idx="0">
                    <c:v>8.9628864399999994E-2</c:v>
                  </c:pt>
                  <c:pt idx="1">
                    <c:v>0.1137248141</c:v>
                  </c:pt>
                </c:numCache>
              </c:numRef>
            </c:minus>
            <c:spPr>
              <a:noFill/>
              <a:ln w="9525" cap="flat" cmpd="sng" algn="ctr">
                <a:solidFill>
                  <a:schemeClr val="tx1">
                    <a:lumMod val="65000"/>
                    <a:lumOff val="35000"/>
                  </a:schemeClr>
                </a:solidFill>
                <a:round/>
              </a:ln>
              <a:effectLst/>
            </c:spPr>
          </c:errBars>
          <c:cat>
            <c:numRef>
              <c:f>Summary!$C$2:$D$2</c:f>
              <c:numCache>
                <c:formatCode>General</c:formatCode>
                <c:ptCount val="2"/>
                <c:pt idx="0">
                  <c:v>2014</c:v>
                </c:pt>
                <c:pt idx="1">
                  <c:v>2015</c:v>
                </c:pt>
              </c:numCache>
            </c:numRef>
          </c:cat>
          <c:val>
            <c:numRef>
              <c:f>Summary!$C$4:$D$4</c:f>
              <c:numCache>
                <c:formatCode>0.00</c:formatCode>
                <c:ptCount val="2"/>
                <c:pt idx="0">
                  <c:v>1.84</c:v>
                </c:pt>
                <c:pt idx="1">
                  <c:v>4.6499999999999977</c:v>
                </c:pt>
              </c:numCache>
            </c:numRef>
          </c:val>
        </c:ser>
        <c:ser>
          <c:idx val="3"/>
          <c:order val="3"/>
          <c:tx>
            <c:strRef>
              <c:f>Summary!$B$5</c:f>
              <c:strCache>
                <c:ptCount val="1"/>
                <c:pt idx="0">
                  <c:v>Bell Bean</c:v>
                </c:pt>
              </c:strCache>
            </c:strRef>
          </c:tx>
          <c:spPr>
            <a:solidFill>
              <a:schemeClr val="accent4"/>
            </a:solidFill>
            <a:ln>
              <a:noFill/>
            </a:ln>
            <a:effectLst/>
          </c:spPr>
          <c:invertIfNegative val="0"/>
          <c:dLbls>
            <c:dLbl>
              <c:idx val="0"/>
              <c:delete val="1"/>
              <c:extLst>
                <c:ext xmlns:c15="http://schemas.microsoft.com/office/drawing/2012/chart" uri="{CE6537A1-D6FC-4f65-9D91-7224C49458BB}"/>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Summary!$H$5:$I$5</c:f>
                <c:numCache>
                  <c:formatCode>General</c:formatCode>
                  <c:ptCount val="2"/>
                  <c:pt idx="0">
                    <c:v>0.5904518044</c:v>
                  </c:pt>
                  <c:pt idx="1">
                    <c:v>3.8441875299999997E-2</c:v>
                  </c:pt>
                </c:numCache>
              </c:numRef>
            </c:plus>
            <c:minus>
              <c:numRef>
                <c:f>Summary!$H$5:$I$5</c:f>
                <c:numCache>
                  <c:formatCode>General</c:formatCode>
                  <c:ptCount val="2"/>
                  <c:pt idx="0">
                    <c:v>0.5904518044</c:v>
                  </c:pt>
                  <c:pt idx="1">
                    <c:v>3.8441875299999997E-2</c:v>
                  </c:pt>
                </c:numCache>
              </c:numRef>
            </c:minus>
            <c:spPr>
              <a:noFill/>
              <a:ln w="9525" cap="flat" cmpd="sng" algn="ctr">
                <a:solidFill>
                  <a:schemeClr val="tx1">
                    <a:lumMod val="65000"/>
                    <a:lumOff val="35000"/>
                  </a:schemeClr>
                </a:solidFill>
                <a:round/>
              </a:ln>
              <a:effectLst/>
            </c:spPr>
          </c:errBars>
          <c:cat>
            <c:numRef>
              <c:f>Summary!$C$2:$D$2</c:f>
              <c:numCache>
                <c:formatCode>General</c:formatCode>
                <c:ptCount val="2"/>
                <c:pt idx="0">
                  <c:v>2014</c:v>
                </c:pt>
                <c:pt idx="1">
                  <c:v>2015</c:v>
                </c:pt>
              </c:numCache>
            </c:numRef>
          </c:cat>
          <c:val>
            <c:numRef>
              <c:f>Summary!$C$5:$D$5</c:f>
              <c:numCache>
                <c:formatCode>0.00</c:formatCode>
                <c:ptCount val="2"/>
                <c:pt idx="0">
                  <c:v>2.4</c:v>
                </c:pt>
                <c:pt idx="1">
                  <c:v>4.3033333333000003</c:v>
                </c:pt>
              </c:numCache>
            </c:numRef>
          </c:val>
        </c:ser>
        <c:ser>
          <c:idx val="4"/>
          <c:order val="4"/>
          <c:tx>
            <c:strRef>
              <c:f>Summary!$B$6</c:f>
              <c:strCache>
                <c:ptCount val="1"/>
                <c:pt idx="0">
                  <c:v>Mustard</c:v>
                </c:pt>
              </c:strCache>
            </c:strRef>
          </c:tx>
          <c:spPr>
            <a:solidFill>
              <a:schemeClr val="accent5"/>
            </a:solidFill>
            <a:ln>
              <a:noFill/>
            </a:ln>
            <a:effectLst/>
          </c:spPr>
          <c:invertIfNegative val="0"/>
          <c:dLbls>
            <c:dLbl>
              <c:idx val="0"/>
              <c:delete val="1"/>
              <c:extLst>
                <c:ext xmlns:c15="http://schemas.microsoft.com/office/drawing/2012/chart" uri="{CE6537A1-D6FC-4f65-9D91-7224C49458BB}"/>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Summary!$H$6:$I$6</c:f>
                <c:numCache>
                  <c:formatCode>General</c:formatCode>
                  <c:ptCount val="2"/>
                  <c:pt idx="0">
                    <c:v>8.6216781000000006E-2</c:v>
                  </c:pt>
                  <c:pt idx="1">
                    <c:v>0.1193035345</c:v>
                  </c:pt>
                </c:numCache>
              </c:numRef>
            </c:plus>
            <c:minus>
              <c:numRef>
                <c:f>Summary!$H$6:$I$6</c:f>
                <c:numCache>
                  <c:formatCode>General</c:formatCode>
                  <c:ptCount val="2"/>
                  <c:pt idx="0">
                    <c:v>8.6216781000000006E-2</c:v>
                  </c:pt>
                  <c:pt idx="1">
                    <c:v>0.1193035345</c:v>
                  </c:pt>
                </c:numCache>
              </c:numRef>
            </c:minus>
            <c:spPr>
              <a:noFill/>
              <a:ln w="9525" cap="flat" cmpd="sng" algn="ctr">
                <a:solidFill>
                  <a:schemeClr val="tx1">
                    <a:lumMod val="65000"/>
                    <a:lumOff val="35000"/>
                  </a:schemeClr>
                </a:solidFill>
                <a:round/>
              </a:ln>
              <a:effectLst/>
            </c:spPr>
          </c:errBars>
          <c:cat>
            <c:numRef>
              <c:f>Summary!$C$2:$D$2</c:f>
              <c:numCache>
                <c:formatCode>General</c:formatCode>
                <c:ptCount val="2"/>
                <c:pt idx="0">
                  <c:v>2014</c:v>
                </c:pt>
                <c:pt idx="1">
                  <c:v>2015</c:v>
                </c:pt>
              </c:numCache>
            </c:numRef>
          </c:cat>
          <c:val>
            <c:numRef>
              <c:f>Summary!$C$6:$D$6</c:f>
              <c:numCache>
                <c:formatCode>0.00</c:formatCode>
                <c:ptCount val="2"/>
                <c:pt idx="0">
                  <c:v>1.69</c:v>
                </c:pt>
                <c:pt idx="1">
                  <c:v>4.18</c:v>
                </c:pt>
              </c:numCache>
            </c:numRef>
          </c:val>
        </c:ser>
        <c:ser>
          <c:idx val="5"/>
          <c:order val="5"/>
          <c:tx>
            <c:strRef>
              <c:f>Summary!$B$7</c:f>
              <c:strCache>
                <c:ptCount val="1"/>
                <c:pt idx="0">
                  <c:v>Radish</c:v>
                </c:pt>
              </c:strCache>
            </c:strRef>
          </c:tx>
          <c:spPr>
            <a:solidFill>
              <a:schemeClr val="accent6"/>
            </a:solidFill>
            <a:ln>
              <a:noFill/>
            </a:ln>
            <a:effectLst/>
          </c:spPr>
          <c:invertIfNegative val="0"/>
          <c:dLbls>
            <c:dLbl>
              <c:idx val="0"/>
              <c:delete val="1"/>
              <c:extLst>
                <c:ext xmlns:c15="http://schemas.microsoft.com/office/drawing/2012/chart" uri="{CE6537A1-D6FC-4f65-9D91-7224C49458BB}"/>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Summary!$H$7:$I$7</c:f>
                <c:numCache>
                  <c:formatCode>General</c:formatCode>
                  <c:ptCount val="2"/>
                  <c:pt idx="0">
                    <c:v>0.2554081701</c:v>
                  </c:pt>
                  <c:pt idx="1">
                    <c:v>0.1537675013</c:v>
                  </c:pt>
                </c:numCache>
              </c:numRef>
            </c:plus>
            <c:minus>
              <c:numRef>
                <c:f>Summary!$H$7:$I$7</c:f>
                <c:numCache>
                  <c:formatCode>General</c:formatCode>
                  <c:ptCount val="2"/>
                  <c:pt idx="0">
                    <c:v>0.2554081701</c:v>
                  </c:pt>
                  <c:pt idx="1">
                    <c:v>0.1537675013</c:v>
                  </c:pt>
                </c:numCache>
              </c:numRef>
            </c:minus>
            <c:spPr>
              <a:noFill/>
              <a:ln w="9525" cap="flat" cmpd="sng" algn="ctr">
                <a:solidFill>
                  <a:schemeClr val="tx1">
                    <a:lumMod val="65000"/>
                    <a:lumOff val="35000"/>
                  </a:schemeClr>
                </a:solidFill>
                <a:round/>
              </a:ln>
              <a:effectLst/>
            </c:spPr>
          </c:errBars>
          <c:cat>
            <c:numRef>
              <c:f>Summary!$C$2:$D$2</c:f>
              <c:numCache>
                <c:formatCode>General</c:formatCode>
                <c:ptCount val="2"/>
                <c:pt idx="0">
                  <c:v>2014</c:v>
                </c:pt>
                <c:pt idx="1">
                  <c:v>2015</c:v>
                </c:pt>
              </c:numCache>
            </c:numRef>
          </c:cat>
          <c:val>
            <c:numRef>
              <c:f>Summary!$C$7:$D$7</c:f>
              <c:numCache>
                <c:formatCode>0.00</c:formatCode>
                <c:ptCount val="2"/>
                <c:pt idx="0">
                  <c:v>1.82</c:v>
                </c:pt>
                <c:pt idx="1">
                  <c:v>4.1566666666999978</c:v>
                </c:pt>
              </c:numCache>
            </c:numRef>
          </c:val>
        </c:ser>
        <c:dLbls>
          <c:dLblPos val="outEnd"/>
          <c:showLegendKey val="0"/>
          <c:showVal val="1"/>
          <c:showCatName val="0"/>
          <c:showSerName val="0"/>
          <c:showPercent val="0"/>
          <c:showBubbleSize val="0"/>
        </c:dLbls>
        <c:gapWidth val="219"/>
        <c:overlap val="-27"/>
        <c:axId val="515113456"/>
        <c:axId val="515113848"/>
        <c:extLst>
          <c:ext xmlns:c15="http://schemas.microsoft.com/office/drawing/2012/chart" uri="{02D57815-91ED-43cb-92C2-25804820EDAC}">
            <c15:filteredBarSeries>
              <c15:ser>
                <c:idx val="0"/>
                <c:order val="0"/>
                <c:tx>
                  <c:strRef>
                    <c:extLst>
                      <c:ext uri="{02D57815-91ED-43cb-92C2-25804820EDAC}">
                        <c15:formulaRef>
                          <c15:sqref>Summary!$B$2</c15:sqref>
                        </c15:formulaRef>
                      </c:ext>
                    </c:extLst>
                    <c:strCache>
                      <c:ptCount val="1"/>
                      <c:pt idx="0">
                        <c:v>Trt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Summary!$C$2:$D$2</c15:sqref>
                        </c15:formulaRef>
                      </c:ext>
                    </c:extLst>
                    <c:numCache>
                      <c:formatCode>General</c:formatCode>
                      <c:ptCount val="2"/>
                      <c:pt idx="0">
                        <c:v>2014</c:v>
                      </c:pt>
                      <c:pt idx="1">
                        <c:v>2015</c:v>
                      </c:pt>
                    </c:numCache>
                  </c:numRef>
                </c:cat>
                <c:val>
                  <c:numRef>
                    <c:extLst>
                      <c:ext uri="{02D57815-91ED-43cb-92C2-25804820EDAC}">
                        <c15:formulaRef>
                          <c15:sqref>Summary!$C$2:$D$2</c15:sqref>
                        </c15:formulaRef>
                      </c:ext>
                    </c:extLst>
                    <c:numCache>
                      <c:formatCode>General</c:formatCode>
                      <c:ptCount val="2"/>
                      <c:pt idx="0">
                        <c:v>2014</c:v>
                      </c:pt>
                      <c:pt idx="1">
                        <c:v>2015</c:v>
                      </c:pt>
                    </c:numCache>
                  </c:numRef>
                </c:val>
              </c15:ser>
            </c15:filteredBarSeries>
          </c:ext>
        </c:extLst>
      </c:barChart>
      <c:catAx>
        <c:axId val="515113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113848"/>
        <c:crosses val="autoZero"/>
        <c:auto val="1"/>
        <c:lblAlgn val="ctr"/>
        <c:lblOffset val="100"/>
        <c:noMultiLvlLbl val="0"/>
      </c:catAx>
      <c:valAx>
        <c:axId val="515113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Tomato</a:t>
                </a:r>
                <a:r>
                  <a:rPr lang="en-US" baseline="0"/>
                  <a:t> Foliar 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1134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Graphs!$A$17</c:f>
              <c:strCache>
                <c:ptCount val="1"/>
                <c:pt idx="0">
                  <c:v>Control</c:v>
                </c:pt>
              </c:strCache>
            </c:strRef>
          </c:tx>
          <c:spPr>
            <a:solidFill>
              <a:schemeClr val="accent1"/>
            </a:solidFill>
            <a:ln>
              <a:noFill/>
            </a:ln>
            <a:effectLst/>
          </c:spPr>
          <c:invertIfNegative val="0"/>
          <c:errBars>
            <c:errBarType val="both"/>
            <c:errValType val="cust"/>
            <c:noEndCap val="0"/>
            <c:plus>
              <c:numLit>
                <c:formatCode>General</c:formatCode>
                <c:ptCount val="2"/>
                <c:pt idx="0">
                  <c:v>5.7700000000000001E-2</c:v>
                </c:pt>
                <c:pt idx="1">
                  <c:v>0.48139999999999999</c:v>
                </c:pt>
              </c:numLit>
            </c:plus>
            <c:minus>
              <c:numLit>
                <c:formatCode>General</c:formatCode>
                <c:ptCount val="2"/>
                <c:pt idx="0">
                  <c:v>5.7700000000000001E-2</c:v>
                </c:pt>
                <c:pt idx="1">
                  <c:v>0.48139999999999999</c:v>
                </c:pt>
              </c:numLit>
            </c:minus>
            <c:spPr>
              <a:noFill/>
              <a:ln w="9525" cap="flat" cmpd="sng" algn="ctr">
                <a:solidFill>
                  <a:schemeClr val="tx1">
                    <a:lumMod val="65000"/>
                    <a:lumOff val="35000"/>
                  </a:schemeClr>
                </a:solidFill>
                <a:round/>
              </a:ln>
              <a:effectLst/>
            </c:spPr>
          </c:errBars>
          <c:cat>
            <c:numRef>
              <c:f>Graphs!$L$16:$M$16</c:f>
              <c:numCache>
                <c:formatCode>General</c:formatCode>
                <c:ptCount val="2"/>
                <c:pt idx="0">
                  <c:v>2014</c:v>
                </c:pt>
                <c:pt idx="1">
                  <c:v>2015</c:v>
                </c:pt>
              </c:numCache>
            </c:numRef>
          </c:cat>
          <c:val>
            <c:numRef>
              <c:f>Graphs!$L$17:$M$17</c:f>
              <c:numCache>
                <c:formatCode>0.00</c:formatCode>
                <c:ptCount val="2"/>
                <c:pt idx="0">
                  <c:v>2.2749999999999999</c:v>
                </c:pt>
                <c:pt idx="1">
                  <c:v>4.085</c:v>
                </c:pt>
              </c:numCache>
            </c:numRef>
          </c:val>
        </c:ser>
        <c:ser>
          <c:idx val="1"/>
          <c:order val="1"/>
          <c:tx>
            <c:strRef>
              <c:f>Graphs!$A$18</c:f>
              <c:strCache>
                <c:ptCount val="1"/>
                <c:pt idx="0">
                  <c:v>Winter Pea</c:v>
                </c:pt>
              </c:strCache>
            </c:strRef>
          </c:tx>
          <c:spPr>
            <a:solidFill>
              <a:schemeClr val="accent2"/>
            </a:solidFill>
            <a:ln>
              <a:noFill/>
            </a:ln>
            <a:effectLst/>
          </c:spPr>
          <c:invertIfNegative val="0"/>
          <c:errBars>
            <c:errBarType val="both"/>
            <c:errValType val="cust"/>
            <c:noEndCap val="0"/>
            <c:plus>
              <c:numLit>
                <c:formatCode>General</c:formatCode>
                <c:ptCount val="2"/>
                <c:pt idx="0">
                  <c:v>0.15529999999999999</c:v>
                </c:pt>
                <c:pt idx="1">
                  <c:v>0.4733</c:v>
                </c:pt>
              </c:numLit>
            </c:plus>
            <c:minus>
              <c:numLit>
                <c:formatCode>General</c:formatCode>
                <c:ptCount val="2"/>
                <c:pt idx="0">
                  <c:v>0.15529999999999999</c:v>
                </c:pt>
                <c:pt idx="1">
                  <c:v>0.4733</c:v>
                </c:pt>
              </c:numLit>
            </c:minus>
            <c:spPr>
              <a:noFill/>
              <a:ln w="9525" cap="flat" cmpd="sng" algn="ctr">
                <a:solidFill>
                  <a:schemeClr val="tx1">
                    <a:lumMod val="65000"/>
                    <a:lumOff val="35000"/>
                  </a:schemeClr>
                </a:solidFill>
                <a:round/>
              </a:ln>
              <a:effectLst/>
            </c:spPr>
          </c:errBars>
          <c:cat>
            <c:numRef>
              <c:f>Graphs!$L$16:$M$16</c:f>
              <c:numCache>
                <c:formatCode>General</c:formatCode>
                <c:ptCount val="2"/>
                <c:pt idx="0">
                  <c:v>2014</c:v>
                </c:pt>
                <c:pt idx="1">
                  <c:v>2015</c:v>
                </c:pt>
              </c:numCache>
            </c:numRef>
          </c:cat>
          <c:val>
            <c:numRef>
              <c:f>Graphs!$L$18:$M$18</c:f>
              <c:numCache>
                <c:formatCode>0.00</c:formatCode>
                <c:ptCount val="2"/>
                <c:pt idx="0">
                  <c:v>2.251666666666666</c:v>
                </c:pt>
                <c:pt idx="1">
                  <c:v>6.0483333333333373</c:v>
                </c:pt>
              </c:numCache>
            </c:numRef>
          </c:val>
        </c:ser>
        <c:ser>
          <c:idx val="2"/>
          <c:order val="2"/>
          <c:tx>
            <c:strRef>
              <c:f>Graphs!$A$19</c:f>
              <c:strCache>
                <c:ptCount val="1"/>
                <c:pt idx="0">
                  <c:v>Bell Bean</c:v>
                </c:pt>
              </c:strCache>
            </c:strRef>
          </c:tx>
          <c:spPr>
            <a:solidFill>
              <a:schemeClr val="accent3"/>
            </a:solidFill>
            <a:ln>
              <a:noFill/>
            </a:ln>
            <a:effectLst/>
          </c:spPr>
          <c:invertIfNegative val="0"/>
          <c:errBars>
            <c:errBarType val="both"/>
            <c:errValType val="cust"/>
            <c:noEndCap val="0"/>
            <c:plus>
              <c:numLit>
                <c:formatCode>General</c:formatCode>
                <c:ptCount val="2"/>
                <c:pt idx="0">
                  <c:v>0.19159999999999999</c:v>
                </c:pt>
                <c:pt idx="1">
                  <c:v>1.1572</c:v>
                </c:pt>
              </c:numLit>
            </c:plus>
            <c:minus>
              <c:numLit>
                <c:formatCode>General</c:formatCode>
                <c:ptCount val="2"/>
                <c:pt idx="0">
                  <c:v>0.19159999999999999</c:v>
                </c:pt>
                <c:pt idx="1">
                  <c:v>1.1572</c:v>
                </c:pt>
              </c:numLit>
            </c:minus>
            <c:spPr>
              <a:noFill/>
              <a:ln w="9525" cap="flat" cmpd="sng" algn="ctr">
                <a:solidFill>
                  <a:schemeClr val="tx1">
                    <a:lumMod val="65000"/>
                    <a:lumOff val="35000"/>
                  </a:schemeClr>
                </a:solidFill>
                <a:round/>
              </a:ln>
              <a:effectLst/>
            </c:spPr>
          </c:errBars>
          <c:cat>
            <c:numRef>
              <c:f>Graphs!$L$16:$M$16</c:f>
              <c:numCache>
                <c:formatCode>General</c:formatCode>
                <c:ptCount val="2"/>
                <c:pt idx="0">
                  <c:v>2014</c:v>
                </c:pt>
                <c:pt idx="1">
                  <c:v>2015</c:v>
                </c:pt>
              </c:numCache>
            </c:numRef>
          </c:cat>
          <c:val>
            <c:numRef>
              <c:f>Graphs!$L$19:$M$19</c:f>
              <c:numCache>
                <c:formatCode>0.00</c:formatCode>
                <c:ptCount val="2"/>
                <c:pt idx="0">
                  <c:v>2.3933333333333331</c:v>
                </c:pt>
                <c:pt idx="1">
                  <c:v>3.9116666666666662</c:v>
                </c:pt>
              </c:numCache>
            </c:numRef>
          </c:val>
        </c:ser>
        <c:ser>
          <c:idx val="3"/>
          <c:order val="3"/>
          <c:tx>
            <c:strRef>
              <c:f>Graphs!$A$20</c:f>
              <c:strCache>
                <c:ptCount val="1"/>
                <c:pt idx="0">
                  <c:v>Mustard</c:v>
                </c:pt>
              </c:strCache>
            </c:strRef>
          </c:tx>
          <c:spPr>
            <a:solidFill>
              <a:schemeClr val="accent4"/>
            </a:solidFill>
            <a:ln>
              <a:noFill/>
            </a:ln>
            <a:effectLst/>
          </c:spPr>
          <c:invertIfNegative val="0"/>
          <c:errBars>
            <c:errBarType val="both"/>
            <c:errValType val="cust"/>
            <c:noEndCap val="0"/>
            <c:plus>
              <c:numLit>
                <c:formatCode>General</c:formatCode>
                <c:ptCount val="2"/>
                <c:pt idx="0">
                  <c:v>9.3700000000000006E-2</c:v>
                </c:pt>
                <c:pt idx="1">
                  <c:v>0.81759999999999999</c:v>
                </c:pt>
              </c:numLit>
            </c:plus>
            <c:minus>
              <c:numLit>
                <c:formatCode>General</c:formatCode>
                <c:ptCount val="2"/>
                <c:pt idx="0">
                  <c:v>9.3700000000000006E-2</c:v>
                </c:pt>
                <c:pt idx="1">
                  <c:v>0.81759999999999999</c:v>
                </c:pt>
              </c:numLit>
            </c:minus>
            <c:spPr>
              <a:noFill/>
              <a:ln w="9525" cap="flat" cmpd="sng" algn="ctr">
                <a:solidFill>
                  <a:schemeClr val="tx1">
                    <a:lumMod val="65000"/>
                    <a:lumOff val="35000"/>
                  </a:schemeClr>
                </a:solidFill>
                <a:round/>
              </a:ln>
              <a:effectLst/>
            </c:spPr>
          </c:errBars>
          <c:cat>
            <c:numRef>
              <c:f>Graphs!$L$16:$M$16</c:f>
              <c:numCache>
                <c:formatCode>General</c:formatCode>
                <c:ptCount val="2"/>
                <c:pt idx="0">
                  <c:v>2014</c:v>
                </c:pt>
                <c:pt idx="1">
                  <c:v>2015</c:v>
                </c:pt>
              </c:numCache>
            </c:numRef>
          </c:cat>
          <c:val>
            <c:numRef>
              <c:f>Graphs!$L$20:$M$20</c:f>
              <c:numCache>
                <c:formatCode>0.00</c:formatCode>
                <c:ptCount val="2"/>
                <c:pt idx="0">
                  <c:v>2.3416666666666668</c:v>
                </c:pt>
                <c:pt idx="1">
                  <c:v>4.8949999999999996</c:v>
                </c:pt>
              </c:numCache>
            </c:numRef>
          </c:val>
        </c:ser>
        <c:ser>
          <c:idx val="4"/>
          <c:order val="4"/>
          <c:tx>
            <c:strRef>
              <c:f>Graphs!$A$21</c:f>
              <c:strCache>
                <c:ptCount val="1"/>
                <c:pt idx="0">
                  <c:v>Radish</c:v>
                </c:pt>
              </c:strCache>
            </c:strRef>
          </c:tx>
          <c:spPr>
            <a:solidFill>
              <a:schemeClr val="accent5"/>
            </a:solidFill>
            <a:ln>
              <a:noFill/>
            </a:ln>
            <a:effectLst/>
          </c:spPr>
          <c:invertIfNegative val="0"/>
          <c:errBars>
            <c:errBarType val="both"/>
            <c:errValType val="cust"/>
            <c:noEndCap val="0"/>
            <c:plus>
              <c:numLit>
                <c:formatCode>General</c:formatCode>
                <c:ptCount val="2"/>
                <c:pt idx="0">
                  <c:v>0.114</c:v>
                </c:pt>
                <c:pt idx="1">
                  <c:v>1.8064</c:v>
                </c:pt>
              </c:numLit>
            </c:plus>
            <c:minus>
              <c:numLit>
                <c:formatCode>General</c:formatCode>
                <c:ptCount val="2"/>
                <c:pt idx="0">
                  <c:v>0.114</c:v>
                </c:pt>
                <c:pt idx="1">
                  <c:v>1.8064</c:v>
                </c:pt>
              </c:numLit>
            </c:minus>
            <c:spPr>
              <a:noFill/>
              <a:ln w="9525" cap="flat" cmpd="sng" algn="ctr">
                <a:solidFill>
                  <a:schemeClr val="tx1">
                    <a:lumMod val="65000"/>
                    <a:lumOff val="35000"/>
                  </a:schemeClr>
                </a:solidFill>
                <a:round/>
              </a:ln>
              <a:effectLst/>
            </c:spPr>
          </c:errBars>
          <c:cat>
            <c:numRef>
              <c:f>Graphs!$L$16:$M$16</c:f>
              <c:numCache>
                <c:formatCode>General</c:formatCode>
                <c:ptCount val="2"/>
                <c:pt idx="0">
                  <c:v>2014</c:v>
                </c:pt>
                <c:pt idx="1">
                  <c:v>2015</c:v>
                </c:pt>
              </c:numCache>
            </c:numRef>
          </c:cat>
          <c:val>
            <c:numRef>
              <c:f>Graphs!$L$21:$M$21</c:f>
              <c:numCache>
                <c:formatCode>0.00</c:formatCode>
                <c:ptCount val="2"/>
                <c:pt idx="0">
                  <c:v>2.5750000000000002</c:v>
                </c:pt>
                <c:pt idx="1">
                  <c:v>4.208333333333333</c:v>
                </c:pt>
              </c:numCache>
            </c:numRef>
          </c:val>
        </c:ser>
        <c:dLbls>
          <c:showLegendKey val="0"/>
          <c:showVal val="0"/>
          <c:showCatName val="0"/>
          <c:showSerName val="0"/>
          <c:showPercent val="0"/>
          <c:showBubbleSize val="0"/>
        </c:dLbls>
        <c:gapWidth val="219"/>
        <c:overlap val="-27"/>
        <c:axId val="643607592"/>
        <c:axId val="643613864"/>
      </c:barChart>
      <c:catAx>
        <c:axId val="643607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613864"/>
        <c:crosses val="autoZero"/>
        <c:auto val="1"/>
        <c:lblAlgn val="ctr"/>
        <c:lblOffset val="100"/>
        <c:noMultiLvlLbl val="0"/>
      </c:catAx>
      <c:valAx>
        <c:axId val="643613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Tomato</a:t>
                </a:r>
                <a:r>
                  <a:rPr lang="en-US" baseline="0"/>
                  <a:t> Yield per Plant (kg)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6075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Graph!$A$3</c:f>
              <c:strCache>
                <c:ptCount val="1"/>
                <c:pt idx="0">
                  <c:v>Control</c:v>
                </c:pt>
              </c:strCache>
            </c:strRef>
          </c:tx>
          <c:spPr>
            <a:solidFill>
              <a:schemeClr val="accent2"/>
            </a:solidFill>
            <a:ln>
              <a:noFill/>
            </a:ln>
            <a:effectLst/>
          </c:spPr>
          <c:invertIfNegative val="0"/>
          <c:errBars>
            <c:errBarType val="both"/>
            <c:errValType val="cust"/>
            <c:noEndCap val="0"/>
            <c:plus>
              <c:numRef>
                <c:f>Graph!$D$3:$E$3</c:f>
                <c:numCache>
                  <c:formatCode>General</c:formatCode>
                  <c:ptCount val="2"/>
                  <c:pt idx="0">
                    <c:v>8.83804906E-2</c:v>
                  </c:pt>
                  <c:pt idx="1">
                    <c:v>0.18339392939999999</c:v>
                  </c:pt>
                </c:numCache>
              </c:numRef>
            </c:plus>
            <c:minus>
              <c:numRef>
                <c:f>Graph!$D$3:$E$3</c:f>
                <c:numCache>
                  <c:formatCode>General</c:formatCode>
                  <c:ptCount val="2"/>
                  <c:pt idx="0">
                    <c:v>8.83804906E-2</c:v>
                  </c:pt>
                  <c:pt idx="1">
                    <c:v>0.18339392939999999</c:v>
                  </c:pt>
                </c:numCache>
              </c:numRef>
            </c:minus>
            <c:spPr>
              <a:noFill/>
              <a:ln w="9525" cap="flat" cmpd="sng" algn="ctr">
                <a:solidFill>
                  <a:schemeClr val="tx1">
                    <a:lumMod val="65000"/>
                    <a:lumOff val="35000"/>
                  </a:schemeClr>
                </a:solidFill>
                <a:round/>
              </a:ln>
              <a:effectLst/>
            </c:spPr>
          </c:errBars>
          <c:cat>
            <c:numRef>
              <c:f>Graph!$B$2:$C$2</c:f>
              <c:numCache>
                <c:formatCode>General</c:formatCode>
                <c:ptCount val="2"/>
                <c:pt idx="0">
                  <c:v>2014</c:v>
                </c:pt>
                <c:pt idx="1">
                  <c:v>2015</c:v>
                </c:pt>
              </c:numCache>
            </c:numRef>
          </c:cat>
          <c:val>
            <c:numRef>
              <c:f>Graph!$B$3:$C$3</c:f>
              <c:numCache>
                <c:formatCode>0.00</c:formatCode>
                <c:ptCount val="2"/>
                <c:pt idx="0">
                  <c:v>3.0933333332999999</c:v>
                </c:pt>
                <c:pt idx="1">
                  <c:v>2.85</c:v>
                </c:pt>
              </c:numCache>
            </c:numRef>
          </c:val>
        </c:ser>
        <c:ser>
          <c:idx val="2"/>
          <c:order val="2"/>
          <c:tx>
            <c:strRef>
              <c:f>Graph!$A$4</c:f>
              <c:strCache>
                <c:ptCount val="1"/>
                <c:pt idx="0">
                  <c:v>Winter Pea</c:v>
                </c:pt>
              </c:strCache>
            </c:strRef>
          </c:tx>
          <c:spPr>
            <a:solidFill>
              <a:schemeClr val="accent3"/>
            </a:solidFill>
            <a:ln>
              <a:noFill/>
            </a:ln>
            <a:effectLst/>
          </c:spPr>
          <c:invertIfNegative val="0"/>
          <c:errBars>
            <c:errBarType val="both"/>
            <c:errValType val="cust"/>
            <c:noEndCap val="0"/>
            <c:plus>
              <c:numRef>
                <c:f>Graph!$D$4:$E$4</c:f>
                <c:numCache>
                  <c:formatCode>General</c:formatCode>
                  <c:ptCount val="2"/>
                  <c:pt idx="0">
                    <c:v>0.26286878860000001</c:v>
                  </c:pt>
                  <c:pt idx="1">
                    <c:v>0.1159022577</c:v>
                  </c:pt>
                </c:numCache>
              </c:numRef>
            </c:plus>
            <c:minus>
              <c:numRef>
                <c:f>Graph!$D$4:$E$4</c:f>
                <c:numCache>
                  <c:formatCode>General</c:formatCode>
                  <c:ptCount val="2"/>
                  <c:pt idx="0">
                    <c:v>0.26286878860000001</c:v>
                  </c:pt>
                  <c:pt idx="1">
                    <c:v>0.1159022577</c:v>
                  </c:pt>
                </c:numCache>
              </c:numRef>
            </c:minus>
            <c:spPr>
              <a:noFill/>
              <a:ln w="9525" cap="flat" cmpd="sng" algn="ctr">
                <a:solidFill>
                  <a:schemeClr val="tx1">
                    <a:lumMod val="65000"/>
                    <a:lumOff val="35000"/>
                  </a:schemeClr>
                </a:solidFill>
                <a:round/>
              </a:ln>
              <a:effectLst/>
            </c:spPr>
          </c:errBars>
          <c:cat>
            <c:numRef>
              <c:f>Graph!$B$2:$C$2</c:f>
              <c:numCache>
                <c:formatCode>General</c:formatCode>
                <c:ptCount val="2"/>
                <c:pt idx="0">
                  <c:v>2014</c:v>
                </c:pt>
                <c:pt idx="1">
                  <c:v>2015</c:v>
                </c:pt>
              </c:numCache>
            </c:numRef>
          </c:cat>
          <c:val>
            <c:numRef>
              <c:f>Graph!$B$4:$C$4</c:f>
              <c:numCache>
                <c:formatCode>0.00</c:formatCode>
                <c:ptCount val="2"/>
                <c:pt idx="0">
                  <c:v>3.08</c:v>
                </c:pt>
                <c:pt idx="1">
                  <c:v>3.12</c:v>
                </c:pt>
              </c:numCache>
            </c:numRef>
          </c:val>
        </c:ser>
        <c:ser>
          <c:idx val="3"/>
          <c:order val="3"/>
          <c:tx>
            <c:strRef>
              <c:f>Graph!$A$5</c:f>
              <c:strCache>
                <c:ptCount val="1"/>
                <c:pt idx="0">
                  <c:v>Bell Bean</c:v>
                </c:pt>
              </c:strCache>
            </c:strRef>
          </c:tx>
          <c:spPr>
            <a:solidFill>
              <a:schemeClr val="accent4"/>
            </a:solidFill>
            <a:ln>
              <a:noFill/>
            </a:ln>
            <a:effectLst/>
          </c:spPr>
          <c:invertIfNegative val="0"/>
          <c:errBars>
            <c:errBarType val="both"/>
            <c:errValType val="cust"/>
            <c:noEndCap val="0"/>
            <c:plus>
              <c:numRef>
                <c:f>Graph!$D$5:$E$5</c:f>
                <c:numCache>
                  <c:formatCode>General</c:formatCode>
                  <c:ptCount val="2"/>
                  <c:pt idx="0">
                    <c:v>2.02758751E-2</c:v>
                  </c:pt>
                  <c:pt idx="1">
                    <c:v>9.0737717300000006E-2</c:v>
                  </c:pt>
                </c:numCache>
              </c:numRef>
            </c:plus>
            <c:minus>
              <c:numRef>
                <c:f>Graph!$D$5:$E$5</c:f>
                <c:numCache>
                  <c:formatCode>General</c:formatCode>
                  <c:ptCount val="2"/>
                  <c:pt idx="0">
                    <c:v>2.02758751E-2</c:v>
                  </c:pt>
                  <c:pt idx="1">
                    <c:v>9.0737717300000006E-2</c:v>
                  </c:pt>
                </c:numCache>
              </c:numRef>
            </c:minus>
            <c:spPr>
              <a:noFill/>
              <a:ln w="9525" cap="flat" cmpd="sng" algn="ctr">
                <a:solidFill>
                  <a:schemeClr val="tx1">
                    <a:lumMod val="65000"/>
                    <a:lumOff val="35000"/>
                  </a:schemeClr>
                </a:solidFill>
                <a:round/>
              </a:ln>
              <a:effectLst/>
            </c:spPr>
          </c:errBars>
          <c:cat>
            <c:numRef>
              <c:f>Graph!$B$2:$C$2</c:f>
              <c:numCache>
                <c:formatCode>General</c:formatCode>
                <c:ptCount val="2"/>
                <c:pt idx="0">
                  <c:v>2014</c:v>
                </c:pt>
                <c:pt idx="1">
                  <c:v>2015</c:v>
                </c:pt>
              </c:numCache>
            </c:numRef>
          </c:cat>
          <c:val>
            <c:numRef>
              <c:f>Graph!$B$5:$C$5</c:f>
              <c:numCache>
                <c:formatCode>0.00</c:formatCode>
                <c:ptCount val="2"/>
                <c:pt idx="0">
                  <c:v>3.2266666666999999</c:v>
                </c:pt>
                <c:pt idx="1">
                  <c:v>2.84</c:v>
                </c:pt>
              </c:numCache>
            </c:numRef>
          </c:val>
        </c:ser>
        <c:ser>
          <c:idx val="4"/>
          <c:order val="4"/>
          <c:tx>
            <c:strRef>
              <c:f>Graph!$A$6</c:f>
              <c:strCache>
                <c:ptCount val="1"/>
                <c:pt idx="0">
                  <c:v>Mustard</c:v>
                </c:pt>
              </c:strCache>
            </c:strRef>
          </c:tx>
          <c:spPr>
            <a:solidFill>
              <a:schemeClr val="accent5"/>
            </a:solidFill>
            <a:ln>
              <a:noFill/>
            </a:ln>
            <a:effectLst/>
          </c:spPr>
          <c:invertIfNegative val="0"/>
          <c:errBars>
            <c:errBarType val="both"/>
            <c:errValType val="cust"/>
            <c:noEndCap val="0"/>
            <c:plus>
              <c:numRef>
                <c:f>Graph!$D$6:$E$6</c:f>
                <c:numCache>
                  <c:formatCode>General</c:formatCode>
                  <c:ptCount val="2"/>
                  <c:pt idx="0">
                    <c:v>0.1334582748</c:v>
                  </c:pt>
                  <c:pt idx="1">
                    <c:v>0.14518187830000001</c:v>
                  </c:pt>
                </c:numCache>
              </c:numRef>
            </c:plus>
            <c:minus>
              <c:numRef>
                <c:f>Graph!$D$6:$E$6</c:f>
                <c:numCache>
                  <c:formatCode>General</c:formatCode>
                  <c:ptCount val="2"/>
                  <c:pt idx="0">
                    <c:v>0.1334582748</c:v>
                  </c:pt>
                  <c:pt idx="1">
                    <c:v>0.14518187830000001</c:v>
                  </c:pt>
                </c:numCache>
              </c:numRef>
            </c:minus>
            <c:spPr>
              <a:noFill/>
              <a:ln w="9525" cap="flat" cmpd="sng" algn="ctr">
                <a:solidFill>
                  <a:schemeClr val="tx1">
                    <a:lumMod val="65000"/>
                    <a:lumOff val="35000"/>
                  </a:schemeClr>
                </a:solidFill>
                <a:round/>
              </a:ln>
              <a:effectLst/>
            </c:spPr>
          </c:errBars>
          <c:cat>
            <c:numRef>
              <c:f>Graph!$B$2:$C$2</c:f>
              <c:numCache>
                <c:formatCode>General</c:formatCode>
                <c:ptCount val="2"/>
                <c:pt idx="0">
                  <c:v>2014</c:v>
                </c:pt>
                <c:pt idx="1">
                  <c:v>2015</c:v>
                </c:pt>
              </c:numCache>
            </c:numRef>
          </c:cat>
          <c:val>
            <c:numRef>
              <c:f>Graph!$B$6:$C$6</c:f>
              <c:numCache>
                <c:formatCode>0.00</c:formatCode>
                <c:ptCount val="2"/>
                <c:pt idx="0">
                  <c:v>3.1133333332999999</c:v>
                </c:pt>
                <c:pt idx="1">
                  <c:v>2.8533333333000002</c:v>
                </c:pt>
              </c:numCache>
            </c:numRef>
          </c:val>
        </c:ser>
        <c:ser>
          <c:idx val="5"/>
          <c:order val="5"/>
          <c:tx>
            <c:strRef>
              <c:f>Graph!$A$7</c:f>
              <c:strCache>
                <c:ptCount val="1"/>
                <c:pt idx="0">
                  <c:v>Radish</c:v>
                </c:pt>
              </c:strCache>
            </c:strRef>
          </c:tx>
          <c:spPr>
            <a:solidFill>
              <a:schemeClr val="accent6"/>
            </a:solidFill>
            <a:ln>
              <a:noFill/>
            </a:ln>
            <a:effectLst/>
          </c:spPr>
          <c:invertIfNegative val="0"/>
          <c:errBars>
            <c:errBarType val="both"/>
            <c:errValType val="cust"/>
            <c:noEndCap val="0"/>
            <c:plus>
              <c:numRef>
                <c:f>Graph!$D$7:$E$7</c:f>
                <c:numCache>
                  <c:formatCode>General</c:formatCode>
                  <c:ptCount val="2"/>
                  <c:pt idx="0">
                    <c:v>0.1760997192</c:v>
                  </c:pt>
                  <c:pt idx="1">
                    <c:v>0.13316656239999999</c:v>
                  </c:pt>
                </c:numCache>
              </c:numRef>
            </c:plus>
            <c:minus>
              <c:numRef>
                <c:f>Graph!$D$7:$E$7</c:f>
                <c:numCache>
                  <c:formatCode>General</c:formatCode>
                  <c:ptCount val="2"/>
                  <c:pt idx="0">
                    <c:v>0.1760997192</c:v>
                  </c:pt>
                  <c:pt idx="1">
                    <c:v>0.13316656239999999</c:v>
                  </c:pt>
                </c:numCache>
              </c:numRef>
            </c:minus>
            <c:spPr>
              <a:noFill/>
              <a:ln w="9525" cap="flat" cmpd="sng" algn="ctr">
                <a:solidFill>
                  <a:schemeClr val="tx1">
                    <a:lumMod val="65000"/>
                    <a:lumOff val="35000"/>
                  </a:schemeClr>
                </a:solidFill>
                <a:round/>
              </a:ln>
              <a:effectLst/>
            </c:spPr>
          </c:errBars>
          <c:cat>
            <c:numRef>
              <c:f>Graph!$B$2:$C$2</c:f>
              <c:numCache>
                <c:formatCode>General</c:formatCode>
                <c:ptCount val="2"/>
                <c:pt idx="0">
                  <c:v>2014</c:v>
                </c:pt>
                <c:pt idx="1">
                  <c:v>2015</c:v>
                </c:pt>
              </c:numCache>
            </c:numRef>
          </c:cat>
          <c:val>
            <c:numRef>
              <c:f>Graph!$B$7:$C$7</c:f>
              <c:numCache>
                <c:formatCode>0.00</c:formatCode>
                <c:ptCount val="2"/>
                <c:pt idx="0">
                  <c:v>3.1966666667000001</c:v>
                </c:pt>
                <c:pt idx="1">
                  <c:v>2.91</c:v>
                </c:pt>
              </c:numCache>
            </c:numRef>
          </c:val>
        </c:ser>
        <c:dLbls>
          <c:showLegendKey val="0"/>
          <c:showVal val="0"/>
          <c:showCatName val="0"/>
          <c:showSerName val="0"/>
          <c:showPercent val="0"/>
          <c:showBubbleSize val="0"/>
        </c:dLbls>
        <c:gapWidth val="219"/>
        <c:overlap val="-27"/>
        <c:axId val="643615432"/>
        <c:axId val="643608376"/>
        <c:extLst>
          <c:ext xmlns:c15="http://schemas.microsoft.com/office/drawing/2012/chart" uri="{02D57815-91ED-43cb-92C2-25804820EDAC}">
            <c15:filteredBarSeries>
              <c15:ser>
                <c:idx val="0"/>
                <c:order val="0"/>
                <c:tx>
                  <c:strRef>
                    <c:extLst>
                      <c:ext uri="{02D57815-91ED-43cb-92C2-25804820EDAC}">
                        <c15:formulaRef>
                          <c15:sqref>Graph!$A$2</c15:sqref>
                        </c15:formulaRef>
                      </c:ext>
                    </c:extLst>
                    <c:strCache>
                      <c:ptCount val="1"/>
                      <c:pt idx="0">
                        <c:v>Trt</c:v>
                      </c:pt>
                    </c:strCache>
                  </c:strRef>
                </c:tx>
                <c:spPr>
                  <a:solidFill>
                    <a:schemeClr val="accent1"/>
                  </a:solidFill>
                  <a:ln>
                    <a:noFill/>
                  </a:ln>
                  <a:effectLst/>
                </c:spPr>
                <c:invertIfNegative val="0"/>
                <c:cat>
                  <c:numRef>
                    <c:extLst>
                      <c:ext uri="{02D57815-91ED-43cb-92C2-25804820EDAC}">
                        <c15:formulaRef>
                          <c15:sqref>Graph!$B$2:$C$2</c15:sqref>
                        </c15:formulaRef>
                      </c:ext>
                    </c:extLst>
                    <c:numCache>
                      <c:formatCode>General</c:formatCode>
                      <c:ptCount val="2"/>
                      <c:pt idx="0">
                        <c:v>2014</c:v>
                      </c:pt>
                      <c:pt idx="1">
                        <c:v>2015</c:v>
                      </c:pt>
                    </c:numCache>
                  </c:numRef>
                </c:cat>
                <c:val>
                  <c:numRef>
                    <c:extLst>
                      <c:ext uri="{02D57815-91ED-43cb-92C2-25804820EDAC}">
                        <c15:formulaRef>
                          <c15:sqref>Graph!$B$2:$C$2</c15:sqref>
                        </c15:formulaRef>
                      </c:ext>
                    </c:extLst>
                    <c:numCache>
                      <c:formatCode>General</c:formatCode>
                      <c:ptCount val="2"/>
                      <c:pt idx="0">
                        <c:v>2014</c:v>
                      </c:pt>
                      <c:pt idx="1">
                        <c:v>2015</c:v>
                      </c:pt>
                    </c:numCache>
                  </c:numRef>
                </c:val>
              </c15:ser>
            </c15:filteredBarSeries>
          </c:ext>
        </c:extLst>
      </c:barChart>
      <c:catAx>
        <c:axId val="643615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608376"/>
        <c:crosses val="autoZero"/>
        <c:auto val="1"/>
        <c:lblAlgn val="ctr"/>
        <c:lblOffset val="100"/>
        <c:noMultiLvlLbl val="0"/>
      </c:catAx>
      <c:valAx>
        <c:axId val="643608376"/>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Broccoli Foliar</a:t>
                </a:r>
                <a:r>
                  <a:rPr lang="en-US" baseline="0"/>
                  <a:t> 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6154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Table'!$A$2:$A$6</c:f>
              <c:strCache>
                <c:ptCount val="5"/>
                <c:pt idx="0">
                  <c:v>Control</c:v>
                </c:pt>
                <c:pt idx="1">
                  <c:v>Winter Pea</c:v>
                </c:pt>
                <c:pt idx="2">
                  <c:v>Bell Bean</c:v>
                </c:pt>
                <c:pt idx="3">
                  <c:v>Mustard</c:v>
                </c:pt>
                <c:pt idx="4">
                  <c:v>Radish</c:v>
                </c:pt>
              </c:strCache>
            </c:strRef>
          </c:cat>
          <c:val>
            <c:numRef>
              <c:f>'Summary Table'!$B$2:$B$6</c:f>
              <c:numCache>
                <c:formatCode>General</c:formatCode>
                <c:ptCount val="5"/>
                <c:pt idx="0">
                  <c:v>599.9166666999995</c:v>
                </c:pt>
                <c:pt idx="1">
                  <c:v>808.33333330000005</c:v>
                </c:pt>
                <c:pt idx="2">
                  <c:v>704.06666669999947</c:v>
                </c:pt>
                <c:pt idx="3">
                  <c:v>694.3499999999998</c:v>
                </c:pt>
                <c:pt idx="4">
                  <c:v>725.66666669999984</c:v>
                </c:pt>
              </c:numCache>
            </c:numRef>
          </c:val>
        </c:ser>
        <c:dLbls>
          <c:dLblPos val="outEnd"/>
          <c:showLegendKey val="0"/>
          <c:showVal val="1"/>
          <c:showCatName val="0"/>
          <c:showSerName val="0"/>
          <c:showPercent val="0"/>
          <c:showBubbleSize val="0"/>
        </c:dLbls>
        <c:gapWidth val="219"/>
        <c:overlap val="-27"/>
        <c:axId val="643608768"/>
        <c:axId val="643609160"/>
      </c:barChart>
      <c:catAx>
        <c:axId val="643608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Cover Crop Treatment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609160"/>
        <c:crosses val="autoZero"/>
        <c:auto val="1"/>
        <c:lblAlgn val="ctr"/>
        <c:lblOffset val="100"/>
        <c:noMultiLvlLbl val="0"/>
      </c:catAx>
      <c:valAx>
        <c:axId val="643609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Fresh Weight Broccoli Plant Biomass</a:t>
                </a:r>
                <a:r>
                  <a:rPr lang="en-US" baseline="0"/>
                  <a:t> (g)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608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graphs!$D$21</c:f>
              <c:strCache>
                <c:ptCount val="1"/>
                <c:pt idx="0">
                  <c:v>2014</c:v>
                </c:pt>
              </c:strCache>
            </c:strRef>
          </c:tx>
          <c:spPr>
            <a:solidFill>
              <a:schemeClr val="bg1">
                <a:lumMod val="75000"/>
              </a:schemeClr>
            </a:solidFill>
            <a:ln>
              <a:noFill/>
            </a:ln>
            <a:effectLst/>
          </c:spPr>
          <c:invertIfNegative val="0"/>
          <c:dLbls>
            <c:dLbl>
              <c:idx val="0"/>
              <c:tx>
                <c:rich>
                  <a:bodyPr/>
                  <a:lstStyle/>
                  <a:p>
                    <a:r>
                      <a:rPr lang="en-US"/>
                      <a:t>E</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37A-4054-9B03-9281033854A5}"/>
                </c:ext>
                <c:ext xmlns:c15="http://schemas.microsoft.com/office/drawing/2012/chart" uri="{CE6537A1-D6FC-4f65-9D91-7224C49458BB}"/>
              </c:extLst>
            </c:dLbl>
            <c:dLbl>
              <c:idx val="1"/>
              <c:tx>
                <c:rich>
                  <a:bodyPr/>
                  <a:lstStyle/>
                  <a:p>
                    <a:r>
                      <a:rPr lang="en-US"/>
                      <a:t>BC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37A-4054-9B03-9281033854A5}"/>
                </c:ext>
                <c:ext xmlns:c15="http://schemas.microsoft.com/office/drawing/2012/chart" uri="{CE6537A1-D6FC-4f65-9D91-7224C49458BB}"/>
              </c:extLst>
            </c:dLbl>
            <c:dLbl>
              <c:idx val="2"/>
              <c:tx>
                <c:rich>
                  <a:bodyPr/>
                  <a:lstStyle/>
                  <a:p>
                    <a:r>
                      <a:rPr lang="en-US"/>
                      <a:t>D</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37A-4054-9B03-9281033854A5}"/>
                </c:ext>
                <c:ext xmlns:c15="http://schemas.microsoft.com/office/drawing/2012/chart" uri="{CE6537A1-D6FC-4f65-9D91-7224C49458BB}"/>
              </c:extLst>
            </c:dLbl>
            <c:dLbl>
              <c:idx val="3"/>
              <c:tx>
                <c:rich>
                  <a:bodyPr/>
                  <a:lstStyle/>
                  <a:p>
                    <a:r>
                      <a:rPr lang="en-US"/>
                      <a:t>DE</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37A-4054-9B03-9281033854A5}"/>
                </c:ext>
                <c:ext xmlns:c15="http://schemas.microsoft.com/office/drawing/2012/chart" uri="{CE6537A1-D6FC-4f65-9D91-7224C49458BB}"/>
              </c:extLst>
            </c:dLbl>
            <c:dLbl>
              <c:idx val="4"/>
              <c:tx>
                <c:rich>
                  <a:bodyPr/>
                  <a:lstStyle/>
                  <a:p>
                    <a:r>
                      <a:rPr lang="en-US"/>
                      <a:t>DE</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37A-4054-9B03-9281033854A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graphs!$C$23:$C$27</c:f>
              <c:strCache>
                <c:ptCount val="5"/>
                <c:pt idx="0">
                  <c:v>Control</c:v>
                </c:pt>
                <c:pt idx="1">
                  <c:v>Winter Peas</c:v>
                </c:pt>
                <c:pt idx="2">
                  <c:v>Bell Beans</c:v>
                </c:pt>
                <c:pt idx="3">
                  <c:v>Mustard</c:v>
                </c:pt>
                <c:pt idx="4">
                  <c:v>Radish</c:v>
                </c:pt>
              </c:strCache>
            </c:strRef>
          </c:cat>
          <c:val>
            <c:numRef>
              <c:f>graphs!$D$23:$D$27</c:f>
              <c:numCache>
                <c:formatCode>General</c:formatCode>
                <c:ptCount val="5"/>
                <c:pt idx="0">
                  <c:v>56.04</c:v>
                </c:pt>
                <c:pt idx="1">
                  <c:v>283.94</c:v>
                </c:pt>
                <c:pt idx="2">
                  <c:v>142.4</c:v>
                </c:pt>
                <c:pt idx="3">
                  <c:v>95.54</c:v>
                </c:pt>
                <c:pt idx="4">
                  <c:v>109.08</c:v>
                </c:pt>
              </c:numCache>
            </c:numRef>
          </c:val>
          <c:extLst xmlns:c16r2="http://schemas.microsoft.com/office/drawing/2015/06/chart">
            <c:ext xmlns:c16="http://schemas.microsoft.com/office/drawing/2014/chart" uri="{C3380CC4-5D6E-409C-BE32-E72D297353CC}">
              <c16:uniqueId val="{00000005-337A-4054-9B03-9281033854A5}"/>
            </c:ext>
          </c:extLst>
        </c:ser>
        <c:ser>
          <c:idx val="1"/>
          <c:order val="1"/>
          <c:tx>
            <c:strRef>
              <c:f>graphs!$F$21</c:f>
              <c:strCache>
                <c:ptCount val="1"/>
                <c:pt idx="0">
                  <c:v>2015</c:v>
                </c:pt>
              </c:strCache>
            </c:strRef>
          </c:tx>
          <c:spPr>
            <a:solidFill>
              <a:schemeClr val="tx1">
                <a:lumMod val="75000"/>
                <a:lumOff val="25000"/>
              </a:schemeClr>
            </a:solidFill>
            <a:ln>
              <a:noFill/>
            </a:ln>
            <a:effectLst/>
          </c:spPr>
          <c:invertIfNegative val="0"/>
          <c:dLbls>
            <c:dLbl>
              <c:idx val="0"/>
              <c:tx>
                <c:rich>
                  <a:bodyPr/>
                  <a:lstStyle/>
                  <a:p>
                    <a:r>
                      <a:rPr lang="en-US"/>
                      <a:t>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37A-4054-9B03-9281033854A5}"/>
                </c:ext>
                <c:ext xmlns:c15="http://schemas.microsoft.com/office/drawing/2012/chart" uri="{CE6537A1-D6FC-4f65-9D91-7224C49458BB}"/>
              </c:extLst>
            </c:dLbl>
            <c:dLbl>
              <c:idx val="1"/>
              <c:tx>
                <c:rich>
                  <a:bodyPr/>
                  <a:lstStyle/>
                  <a:p>
                    <a:r>
                      <a:rPr lang="en-US"/>
                      <a:t>BC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37A-4054-9B03-9281033854A5}"/>
                </c:ext>
                <c:ext xmlns:c15="http://schemas.microsoft.com/office/drawing/2012/chart" uri="{CE6537A1-D6FC-4f65-9D91-7224C49458BB}"/>
              </c:extLst>
            </c:dLbl>
            <c:dLbl>
              <c:idx val="2"/>
              <c:tx>
                <c:rich>
                  <a:bodyPr/>
                  <a:lstStyle/>
                  <a:p>
                    <a:r>
                      <a:rPr lang="en-US"/>
                      <a:t>AB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37A-4054-9B03-9281033854A5}"/>
                </c:ext>
                <c:ext xmlns:c15="http://schemas.microsoft.com/office/drawing/2012/chart" uri="{CE6537A1-D6FC-4f65-9D91-7224C49458BB}"/>
              </c:extLst>
            </c:dLbl>
            <c:dLbl>
              <c:idx val="3"/>
              <c:tx>
                <c:rich>
                  <a:bodyPr/>
                  <a:lstStyle/>
                  <a:p>
                    <a:r>
                      <a:rPr lang="en-US"/>
                      <a:t>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37A-4054-9B03-9281033854A5}"/>
                </c:ext>
                <c:ext xmlns:c15="http://schemas.microsoft.com/office/drawing/2012/chart" uri="{CE6537A1-D6FC-4f65-9D91-7224C49458BB}"/>
              </c:extLst>
            </c:dLbl>
            <c:dLbl>
              <c:idx val="4"/>
              <c:tx>
                <c:rich>
                  <a:bodyPr/>
                  <a:lstStyle/>
                  <a:p>
                    <a:r>
                      <a:rPr lang="en-US"/>
                      <a:t>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37A-4054-9B03-9281033854A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graphs!$F$23:$F$27</c:f>
              <c:numCache>
                <c:formatCode>General</c:formatCode>
                <c:ptCount val="5"/>
                <c:pt idx="0">
                  <c:v>238.66</c:v>
                </c:pt>
                <c:pt idx="1">
                  <c:v>290.66000000000003</c:v>
                </c:pt>
                <c:pt idx="2">
                  <c:v>346</c:v>
                </c:pt>
                <c:pt idx="3">
                  <c:v>424</c:v>
                </c:pt>
                <c:pt idx="4">
                  <c:v>394.66</c:v>
                </c:pt>
              </c:numCache>
            </c:numRef>
          </c:val>
          <c:extLst xmlns:c16r2="http://schemas.microsoft.com/office/drawing/2015/06/chart">
            <c:ext xmlns:c16="http://schemas.microsoft.com/office/drawing/2014/chart" uri="{C3380CC4-5D6E-409C-BE32-E72D297353CC}">
              <c16:uniqueId val="{0000000B-337A-4054-9B03-9281033854A5}"/>
            </c:ext>
          </c:extLst>
        </c:ser>
        <c:dLbls>
          <c:dLblPos val="outEnd"/>
          <c:showLegendKey val="0"/>
          <c:showVal val="1"/>
          <c:showCatName val="0"/>
          <c:showSerName val="0"/>
          <c:showPercent val="0"/>
          <c:showBubbleSize val="0"/>
        </c:dLbls>
        <c:gapWidth val="219"/>
        <c:overlap val="-27"/>
        <c:axId val="581175560"/>
        <c:axId val="581183792"/>
      </c:barChart>
      <c:catAx>
        <c:axId val="581175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Cover Crop Treatment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1183792"/>
        <c:crosses val="autoZero"/>
        <c:auto val="1"/>
        <c:lblAlgn val="ctr"/>
        <c:lblOffset val="100"/>
        <c:noMultiLvlLbl val="0"/>
      </c:catAx>
      <c:valAx>
        <c:axId val="581183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Cover Crop Biomass (g/m2)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1175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'Summary Graphs'!$A$15</c:f>
              <c:strCache>
                <c:ptCount val="1"/>
                <c:pt idx="0">
                  <c:v>Control</c:v>
                </c:pt>
              </c:strCache>
            </c:strRef>
          </c:tx>
          <c:spPr>
            <a:solidFill>
              <a:schemeClr val="accent1"/>
            </a:solidFill>
            <a:ln>
              <a:noFill/>
            </a:ln>
            <a:effectLst/>
          </c:spPr>
          <c:invertIfNegative val="0"/>
          <c:errBars>
            <c:errBarType val="both"/>
            <c:errValType val="cust"/>
            <c:noEndCap val="0"/>
            <c:plus>
              <c:numRef>
                <c:f>'Summary Graphs'!$D$15:$E$15</c:f>
                <c:numCache>
                  <c:formatCode>General</c:formatCode>
                  <c:ptCount val="2"/>
                  <c:pt idx="0">
                    <c:v>0.17039170558843</c:v>
                  </c:pt>
                  <c:pt idx="1">
                    <c:v>0.13698034327757999</c:v>
                  </c:pt>
                </c:numCache>
              </c:numRef>
            </c:plus>
            <c:minus>
              <c:numRef>
                <c:f>'Summary Graphs'!$D$15:$E$15</c:f>
                <c:numCache>
                  <c:formatCode>General</c:formatCode>
                  <c:ptCount val="2"/>
                  <c:pt idx="0">
                    <c:v>0.17039170558843</c:v>
                  </c:pt>
                  <c:pt idx="1">
                    <c:v>0.13698034327757999</c:v>
                  </c:pt>
                </c:numCache>
              </c:numRef>
            </c:minus>
            <c:spPr>
              <a:noFill/>
              <a:ln w="9525" cap="flat" cmpd="sng" algn="ctr">
                <a:solidFill>
                  <a:schemeClr val="tx1">
                    <a:lumMod val="65000"/>
                    <a:lumOff val="35000"/>
                  </a:schemeClr>
                </a:solidFill>
                <a:round/>
              </a:ln>
              <a:effectLst/>
            </c:spPr>
          </c:errBars>
          <c:cat>
            <c:numRef>
              <c:f>'Summary Graphs'!$B$14:$C$14</c:f>
              <c:numCache>
                <c:formatCode>General</c:formatCode>
                <c:ptCount val="2"/>
                <c:pt idx="0">
                  <c:v>2014</c:v>
                </c:pt>
                <c:pt idx="1">
                  <c:v>2015</c:v>
                </c:pt>
              </c:numCache>
            </c:numRef>
          </c:cat>
          <c:val>
            <c:numRef>
              <c:f>'Summary Graphs'!$B$15:$C$15</c:f>
              <c:numCache>
                <c:formatCode>General</c:formatCode>
                <c:ptCount val="2"/>
                <c:pt idx="0">
                  <c:v>1.96</c:v>
                </c:pt>
                <c:pt idx="1">
                  <c:v>1.7358333333333</c:v>
                </c:pt>
              </c:numCache>
            </c:numRef>
          </c:val>
        </c:ser>
        <c:ser>
          <c:idx val="1"/>
          <c:order val="1"/>
          <c:tx>
            <c:strRef>
              <c:f>'Summary Graphs'!$A$16</c:f>
              <c:strCache>
                <c:ptCount val="1"/>
                <c:pt idx="0">
                  <c:v>Winter Pea</c:v>
                </c:pt>
              </c:strCache>
            </c:strRef>
          </c:tx>
          <c:spPr>
            <a:solidFill>
              <a:schemeClr val="accent2"/>
            </a:solidFill>
            <a:ln>
              <a:noFill/>
            </a:ln>
            <a:effectLst/>
          </c:spPr>
          <c:invertIfNegative val="0"/>
          <c:errBars>
            <c:errBarType val="both"/>
            <c:errValType val="cust"/>
            <c:noEndCap val="0"/>
            <c:plus>
              <c:numRef>
                <c:f>'Summary Graphs'!$D$16:$E$16</c:f>
                <c:numCache>
                  <c:formatCode>General</c:formatCode>
                  <c:ptCount val="2"/>
                  <c:pt idx="0">
                    <c:v>0.23673707872753</c:v>
                  </c:pt>
                  <c:pt idx="1">
                    <c:v>0.13151312144082999</c:v>
                  </c:pt>
                </c:numCache>
              </c:numRef>
            </c:plus>
            <c:minus>
              <c:numRef>
                <c:f>'Summary Graphs'!$D$16:$E$16</c:f>
                <c:numCache>
                  <c:formatCode>General</c:formatCode>
                  <c:ptCount val="2"/>
                  <c:pt idx="0">
                    <c:v>0.23673707872753</c:v>
                  </c:pt>
                  <c:pt idx="1">
                    <c:v>0.13151312144082999</c:v>
                  </c:pt>
                </c:numCache>
              </c:numRef>
            </c:minus>
            <c:spPr>
              <a:noFill/>
              <a:ln w="9525" cap="flat" cmpd="sng" algn="ctr">
                <a:solidFill>
                  <a:schemeClr val="tx1">
                    <a:lumMod val="65000"/>
                    <a:lumOff val="35000"/>
                  </a:schemeClr>
                </a:solidFill>
                <a:round/>
              </a:ln>
              <a:effectLst/>
            </c:spPr>
          </c:errBars>
          <c:cat>
            <c:numRef>
              <c:f>'Summary Graphs'!$B$14:$C$14</c:f>
              <c:numCache>
                <c:formatCode>General</c:formatCode>
                <c:ptCount val="2"/>
                <c:pt idx="0">
                  <c:v>2014</c:v>
                </c:pt>
                <c:pt idx="1">
                  <c:v>2015</c:v>
                </c:pt>
              </c:numCache>
            </c:numRef>
          </c:cat>
          <c:val>
            <c:numRef>
              <c:f>'Summary Graphs'!$B$16:$C$16</c:f>
              <c:numCache>
                <c:formatCode>General</c:formatCode>
                <c:ptCount val="2"/>
                <c:pt idx="0">
                  <c:v>2.016666666666699</c:v>
                </c:pt>
                <c:pt idx="1">
                  <c:v>1.7981666666667</c:v>
                </c:pt>
              </c:numCache>
            </c:numRef>
          </c:val>
        </c:ser>
        <c:ser>
          <c:idx val="2"/>
          <c:order val="2"/>
          <c:tx>
            <c:strRef>
              <c:f>'Summary Graphs'!$A$17</c:f>
              <c:strCache>
                <c:ptCount val="1"/>
                <c:pt idx="0">
                  <c:v>Bell Bean</c:v>
                </c:pt>
              </c:strCache>
            </c:strRef>
          </c:tx>
          <c:spPr>
            <a:solidFill>
              <a:schemeClr val="accent3"/>
            </a:solidFill>
            <a:ln>
              <a:noFill/>
            </a:ln>
            <a:effectLst/>
          </c:spPr>
          <c:invertIfNegative val="0"/>
          <c:errBars>
            <c:errBarType val="both"/>
            <c:errValType val="cust"/>
            <c:noEndCap val="0"/>
            <c:plus>
              <c:numRef>
                <c:f>'Summary Graphs'!$D$17:$E$17</c:f>
                <c:numCache>
                  <c:formatCode>General</c:formatCode>
                  <c:ptCount val="2"/>
                  <c:pt idx="0">
                    <c:v>0.38558757471913002</c:v>
                  </c:pt>
                  <c:pt idx="1">
                    <c:v>0.22096588049843</c:v>
                  </c:pt>
                </c:numCache>
              </c:numRef>
            </c:plus>
            <c:minus>
              <c:numRef>
                <c:f>'Summary Graphs'!$D$17:$E$17</c:f>
                <c:numCache>
                  <c:formatCode>General</c:formatCode>
                  <c:ptCount val="2"/>
                  <c:pt idx="0">
                    <c:v>0.38558757471913002</c:v>
                  </c:pt>
                  <c:pt idx="1">
                    <c:v>0.22096588049843</c:v>
                  </c:pt>
                </c:numCache>
              </c:numRef>
            </c:minus>
            <c:spPr>
              <a:noFill/>
              <a:ln w="9525" cap="flat" cmpd="sng" algn="ctr">
                <a:solidFill>
                  <a:schemeClr val="tx1">
                    <a:lumMod val="65000"/>
                    <a:lumOff val="35000"/>
                  </a:schemeClr>
                </a:solidFill>
                <a:round/>
              </a:ln>
              <a:effectLst/>
            </c:spPr>
          </c:errBars>
          <c:cat>
            <c:numRef>
              <c:f>'Summary Graphs'!$B$14:$C$14</c:f>
              <c:numCache>
                <c:formatCode>General</c:formatCode>
                <c:ptCount val="2"/>
                <c:pt idx="0">
                  <c:v>2014</c:v>
                </c:pt>
                <c:pt idx="1">
                  <c:v>2015</c:v>
                </c:pt>
              </c:numCache>
            </c:numRef>
          </c:cat>
          <c:val>
            <c:numRef>
              <c:f>'Summary Graphs'!$B$17:$C$17</c:f>
              <c:numCache>
                <c:formatCode>General</c:formatCode>
                <c:ptCount val="2"/>
                <c:pt idx="0">
                  <c:v>1.6266666666667</c:v>
                </c:pt>
                <c:pt idx="1">
                  <c:v>2.1495366666667</c:v>
                </c:pt>
              </c:numCache>
            </c:numRef>
          </c:val>
        </c:ser>
        <c:ser>
          <c:idx val="3"/>
          <c:order val="3"/>
          <c:tx>
            <c:strRef>
              <c:f>'Summary Graphs'!$A$18</c:f>
              <c:strCache>
                <c:ptCount val="1"/>
                <c:pt idx="0">
                  <c:v>Mustard</c:v>
                </c:pt>
              </c:strCache>
            </c:strRef>
          </c:tx>
          <c:spPr>
            <a:solidFill>
              <a:schemeClr val="accent4"/>
            </a:solidFill>
            <a:ln>
              <a:noFill/>
            </a:ln>
            <a:effectLst/>
          </c:spPr>
          <c:invertIfNegative val="0"/>
          <c:errBars>
            <c:errBarType val="both"/>
            <c:errValType val="cust"/>
            <c:noEndCap val="0"/>
            <c:plus>
              <c:numRef>
                <c:f>'Summary Graphs'!$D$18:$E$18</c:f>
                <c:numCache>
                  <c:formatCode>General</c:formatCode>
                  <c:ptCount val="2"/>
                  <c:pt idx="0">
                    <c:v>0.13383239933256</c:v>
                  </c:pt>
                  <c:pt idx="1">
                    <c:v>0.10406274282588</c:v>
                  </c:pt>
                </c:numCache>
              </c:numRef>
            </c:plus>
            <c:minus>
              <c:numRef>
                <c:f>'Summary Graphs'!$D$18:$E$18</c:f>
                <c:numCache>
                  <c:formatCode>General</c:formatCode>
                  <c:ptCount val="2"/>
                  <c:pt idx="0">
                    <c:v>0.13383239933256</c:v>
                  </c:pt>
                  <c:pt idx="1">
                    <c:v>0.10406274282588</c:v>
                  </c:pt>
                </c:numCache>
              </c:numRef>
            </c:minus>
            <c:spPr>
              <a:noFill/>
              <a:ln w="9525" cap="flat" cmpd="sng" algn="ctr">
                <a:solidFill>
                  <a:schemeClr val="tx1">
                    <a:lumMod val="65000"/>
                    <a:lumOff val="35000"/>
                  </a:schemeClr>
                </a:solidFill>
                <a:round/>
              </a:ln>
              <a:effectLst/>
            </c:spPr>
          </c:errBars>
          <c:cat>
            <c:numRef>
              <c:f>'Summary Graphs'!$B$14:$C$14</c:f>
              <c:numCache>
                <c:formatCode>General</c:formatCode>
                <c:ptCount val="2"/>
                <c:pt idx="0">
                  <c:v>2014</c:v>
                </c:pt>
                <c:pt idx="1">
                  <c:v>2015</c:v>
                </c:pt>
              </c:numCache>
            </c:numRef>
          </c:cat>
          <c:val>
            <c:numRef>
              <c:f>'Summary Graphs'!$B$18:$C$18</c:f>
              <c:numCache>
                <c:formatCode>General</c:formatCode>
                <c:ptCount val="2"/>
                <c:pt idx="0">
                  <c:v>1.9366666666667001</c:v>
                </c:pt>
                <c:pt idx="1">
                  <c:v>2.2475333333333012</c:v>
                </c:pt>
              </c:numCache>
            </c:numRef>
          </c:val>
        </c:ser>
        <c:ser>
          <c:idx val="4"/>
          <c:order val="4"/>
          <c:tx>
            <c:strRef>
              <c:f>'Summary Graphs'!$A$19</c:f>
              <c:strCache>
                <c:ptCount val="1"/>
                <c:pt idx="0">
                  <c:v>Radish</c:v>
                </c:pt>
              </c:strCache>
            </c:strRef>
          </c:tx>
          <c:spPr>
            <a:solidFill>
              <a:schemeClr val="accent5"/>
            </a:solidFill>
            <a:ln>
              <a:noFill/>
            </a:ln>
            <a:effectLst/>
          </c:spPr>
          <c:invertIfNegative val="0"/>
          <c:errBars>
            <c:errBarType val="both"/>
            <c:errValType val="cust"/>
            <c:noEndCap val="0"/>
            <c:plus>
              <c:numRef>
                <c:f>'Summary Graphs'!$D$19:$E$19</c:f>
                <c:numCache>
                  <c:formatCode>General</c:formatCode>
                  <c:ptCount val="2"/>
                  <c:pt idx="0">
                    <c:v>0.27430720815255</c:v>
                  </c:pt>
                  <c:pt idx="1">
                    <c:v>0.14135339087234999</c:v>
                  </c:pt>
                </c:numCache>
              </c:numRef>
            </c:plus>
            <c:minus>
              <c:numRef>
                <c:f>'Summary Graphs'!$D$19:$E$19</c:f>
                <c:numCache>
                  <c:formatCode>General</c:formatCode>
                  <c:ptCount val="2"/>
                  <c:pt idx="0">
                    <c:v>0.27430720815255</c:v>
                  </c:pt>
                  <c:pt idx="1">
                    <c:v>0.14135339087234999</c:v>
                  </c:pt>
                </c:numCache>
              </c:numRef>
            </c:minus>
            <c:spPr>
              <a:noFill/>
              <a:ln w="9525" cap="flat" cmpd="sng" algn="ctr">
                <a:solidFill>
                  <a:schemeClr val="tx1">
                    <a:lumMod val="65000"/>
                    <a:lumOff val="35000"/>
                  </a:schemeClr>
                </a:solidFill>
                <a:round/>
              </a:ln>
              <a:effectLst/>
            </c:spPr>
          </c:errBars>
          <c:cat>
            <c:numRef>
              <c:f>'Summary Graphs'!$B$14:$C$14</c:f>
              <c:numCache>
                <c:formatCode>General</c:formatCode>
                <c:ptCount val="2"/>
                <c:pt idx="0">
                  <c:v>2014</c:v>
                </c:pt>
                <c:pt idx="1">
                  <c:v>2015</c:v>
                </c:pt>
              </c:numCache>
            </c:numRef>
          </c:cat>
          <c:val>
            <c:numRef>
              <c:f>'Summary Graphs'!$B$19:$C$19</c:f>
              <c:numCache>
                <c:formatCode>General</c:formatCode>
                <c:ptCount val="2"/>
                <c:pt idx="0">
                  <c:v>1.5533333333332999</c:v>
                </c:pt>
                <c:pt idx="1">
                  <c:v>2.0525666666667002</c:v>
                </c:pt>
              </c:numCache>
            </c:numRef>
          </c:val>
        </c:ser>
        <c:dLbls>
          <c:showLegendKey val="0"/>
          <c:showVal val="0"/>
          <c:showCatName val="0"/>
          <c:showSerName val="0"/>
          <c:showPercent val="0"/>
          <c:showBubbleSize val="0"/>
        </c:dLbls>
        <c:gapWidth val="219"/>
        <c:overlap val="-27"/>
        <c:axId val="643616216"/>
        <c:axId val="643615824"/>
      </c:barChart>
      <c:catAx>
        <c:axId val="643616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615824"/>
        <c:crosses val="autoZero"/>
        <c:auto val="1"/>
        <c:lblAlgn val="ctr"/>
        <c:lblOffset val="100"/>
        <c:noMultiLvlLbl val="0"/>
      </c:catAx>
      <c:valAx>
        <c:axId val="643615824"/>
        <c:scaling>
          <c:orientation val="minMax"/>
          <c:max val="2.4"/>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Yield per Plot (kg)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6162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'Summary Graphs'!$A$32</c:f>
              <c:strCache>
                <c:ptCount val="1"/>
                <c:pt idx="0">
                  <c:v>Control</c:v>
                </c:pt>
              </c:strCache>
            </c:strRef>
          </c:tx>
          <c:spPr>
            <a:solidFill>
              <a:schemeClr val="accent1"/>
            </a:solidFill>
            <a:ln>
              <a:noFill/>
            </a:ln>
            <a:effectLst/>
          </c:spPr>
          <c:invertIfNegative val="0"/>
          <c:errBars>
            <c:errBarType val="both"/>
            <c:errValType val="cust"/>
            <c:noEndCap val="0"/>
            <c:plus>
              <c:numRef>
                <c:f>'Summary Graphs'!$D$32:$E$32</c:f>
                <c:numCache>
                  <c:formatCode>General</c:formatCode>
                  <c:ptCount val="2"/>
                  <c:pt idx="0">
                    <c:v>8.3221017644449997</c:v>
                  </c:pt>
                  <c:pt idx="1">
                    <c:v>11.762212093536</c:v>
                  </c:pt>
                </c:numCache>
              </c:numRef>
            </c:plus>
            <c:minus>
              <c:numRef>
                <c:f>'Summary Graphs'!$D$32:$E$32</c:f>
                <c:numCache>
                  <c:formatCode>General</c:formatCode>
                  <c:ptCount val="2"/>
                  <c:pt idx="0">
                    <c:v>8.3221017644449997</c:v>
                  </c:pt>
                  <c:pt idx="1">
                    <c:v>11.762212093536</c:v>
                  </c:pt>
                </c:numCache>
              </c:numRef>
            </c:minus>
            <c:spPr>
              <a:noFill/>
              <a:ln w="9525" cap="flat" cmpd="sng" algn="ctr">
                <a:solidFill>
                  <a:schemeClr val="tx1">
                    <a:lumMod val="65000"/>
                    <a:lumOff val="35000"/>
                  </a:schemeClr>
                </a:solidFill>
                <a:round/>
              </a:ln>
              <a:effectLst/>
            </c:spPr>
          </c:errBars>
          <c:cat>
            <c:numRef>
              <c:f>'Summary Graphs'!$B$31:$C$31</c:f>
              <c:numCache>
                <c:formatCode>General</c:formatCode>
                <c:ptCount val="2"/>
                <c:pt idx="0">
                  <c:v>2014</c:v>
                </c:pt>
                <c:pt idx="1">
                  <c:v>2015</c:v>
                </c:pt>
              </c:numCache>
            </c:numRef>
          </c:cat>
          <c:val>
            <c:numRef>
              <c:f>'Summary Graphs'!$B$32:$C$32</c:f>
              <c:numCache>
                <c:formatCode>0.00</c:formatCode>
                <c:ptCount val="2"/>
                <c:pt idx="0">
                  <c:v>106.52666666667</c:v>
                </c:pt>
                <c:pt idx="1">
                  <c:v>129.62</c:v>
                </c:pt>
              </c:numCache>
            </c:numRef>
          </c:val>
        </c:ser>
        <c:ser>
          <c:idx val="1"/>
          <c:order val="1"/>
          <c:tx>
            <c:strRef>
              <c:f>'Summary Graphs'!$A$33</c:f>
              <c:strCache>
                <c:ptCount val="1"/>
                <c:pt idx="0">
                  <c:v>Winter Pea</c:v>
                </c:pt>
              </c:strCache>
            </c:strRef>
          </c:tx>
          <c:spPr>
            <a:solidFill>
              <a:schemeClr val="accent2"/>
            </a:solidFill>
            <a:ln>
              <a:noFill/>
            </a:ln>
            <a:effectLst/>
          </c:spPr>
          <c:invertIfNegative val="0"/>
          <c:errBars>
            <c:errBarType val="both"/>
            <c:errValType val="cust"/>
            <c:noEndCap val="0"/>
            <c:plus>
              <c:numRef>
                <c:f>'Summary Graphs'!$D$33:$E$33</c:f>
                <c:numCache>
                  <c:formatCode>General</c:formatCode>
                  <c:ptCount val="2"/>
                  <c:pt idx="0">
                    <c:v>24.187295792994</c:v>
                  </c:pt>
                  <c:pt idx="1">
                    <c:v>7.4357813607208998</c:v>
                  </c:pt>
                </c:numCache>
              </c:numRef>
            </c:plus>
            <c:minus>
              <c:numRef>
                <c:f>'Summary Graphs'!$D$33:$E$33</c:f>
                <c:numCache>
                  <c:formatCode>General</c:formatCode>
                  <c:ptCount val="2"/>
                  <c:pt idx="0">
                    <c:v>24.187295792994</c:v>
                  </c:pt>
                  <c:pt idx="1">
                    <c:v>7.4357813607208998</c:v>
                  </c:pt>
                </c:numCache>
              </c:numRef>
            </c:minus>
            <c:spPr>
              <a:noFill/>
              <a:ln w="9525" cap="flat" cmpd="sng" algn="ctr">
                <a:solidFill>
                  <a:schemeClr val="tx1">
                    <a:lumMod val="65000"/>
                    <a:lumOff val="35000"/>
                  </a:schemeClr>
                </a:solidFill>
                <a:round/>
              </a:ln>
              <a:effectLst/>
            </c:spPr>
          </c:errBars>
          <c:cat>
            <c:numRef>
              <c:f>'Summary Graphs'!$B$31:$C$31</c:f>
              <c:numCache>
                <c:formatCode>General</c:formatCode>
                <c:ptCount val="2"/>
                <c:pt idx="0">
                  <c:v>2014</c:v>
                </c:pt>
                <c:pt idx="1">
                  <c:v>2015</c:v>
                </c:pt>
              </c:numCache>
            </c:numRef>
          </c:cat>
          <c:val>
            <c:numRef>
              <c:f>'Summary Graphs'!$B$33:$C$33</c:f>
              <c:numCache>
                <c:formatCode>0.00</c:formatCode>
                <c:ptCount val="2"/>
                <c:pt idx="0">
                  <c:v>129.51666666667001</c:v>
                </c:pt>
                <c:pt idx="1">
                  <c:v>129.34666666666999</c:v>
                </c:pt>
              </c:numCache>
            </c:numRef>
          </c:val>
        </c:ser>
        <c:ser>
          <c:idx val="2"/>
          <c:order val="2"/>
          <c:tx>
            <c:strRef>
              <c:f>'Summary Graphs'!$A$34</c:f>
              <c:strCache>
                <c:ptCount val="1"/>
                <c:pt idx="0">
                  <c:v>Bell Bean</c:v>
                </c:pt>
              </c:strCache>
            </c:strRef>
          </c:tx>
          <c:spPr>
            <a:solidFill>
              <a:schemeClr val="accent3"/>
            </a:solidFill>
            <a:ln>
              <a:noFill/>
            </a:ln>
            <a:effectLst/>
          </c:spPr>
          <c:invertIfNegative val="0"/>
          <c:errBars>
            <c:errBarType val="both"/>
            <c:errValType val="cust"/>
            <c:noEndCap val="0"/>
            <c:plus>
              <c:numRef>
                <c:f>'Summary Graphs'!$D$34:$E$34</c:f>
                <c:numCache>
                  <c:formatCode>General</c:formatCode>
                  <c:ptCount val="2"/>
                  <c:pt idx="0">
                    <c:v>8.8877387450352003</c:v>
                  </c:pt>
                  <c:pt idx="1">
                    <c:v>21.274137663683</c:v>
                  </c:pt>
                </c:numCache>
              </c:numRef>
            </c:plus>
            <c:minus>
              <c:numRef>
                <c:f>'Summary Graphs'!$D$34:$E$34</c:f>
                <c:numCache>
                  <c:formatCode>General</c:formatCode>
                  <c:ptCount val="2"/>
                  <c:pt idx="0">
                    <c:v>8.8877387450352003</c:v>
                  </c:pt>
                  <c:pt idx="1">
                    <c:v>21.274137663683</c:v>
                  </c:pt>
                </c:numCache>
              </c:numRef>
            </c:minus>
            <c:spPr>
              <a:noFill/>
              <a:ln w="9525" cap="flat" cmpd="sng" algn="ctr">
                <a:solidFill>
                  <a:schemeClr val="tx1">
                    <a:lumMod val="65000"/>
                    <a:lumOff val="35000"/>
                  </a:schemeClr>
                </a:solidFill>
                <a:round/>
              </a:ln>
              <a:effectLst/>
            </c:spPr>
          </c:errBars>
          <c:cat>
            <c:numRef>
              <c:f>'Summary Graphs'!$B$31:$C$31</c:f>
              <c:numCache>
                <c:formatCode>General</c:formatCode>
                <c:ptCount val="2"/>
                <c:pt idx="0">
                  <c:v>2014</c:v>
                </c:pt>
                <c:pt idx="1">
                  <c:v>2015</c:v>
                </c:pt>
              </c:numCache>
            </c:numRef>
          </c:cat>
          <c:val>
            <c:numRef>
              <c:f>'Summary Graphs'!$B$34:$C$34</c:f>
              <c:numCache>
                <c:formatCode>0.00</c:formatCode>
                <c:ptCount val="2"/>
                <c:pt idx="0">
                  <c:v>103.63</c:v>
                </c:pt>
                <c:pt idx="1">
                  <c:v>146.66</c:v>
                </c:pt>
              </c:numCache>
            </c:numRef>
          </c:val>
        </c:ser>
        <c:ser>
          <c:idx val="3"/>
          <c:order val="3"/>
          <c:tx>
            <c:strRef>
              <c:f>'Summary Graphs'!$A$35</c:f>
              <c:strCache>
                <c:ptCount val="1"/>
                <c:pt idx="0">
                  <c:v>Mustard</c:v>
                </c:pt>
              </c:strCache>
            </c:strRef>
          </c:tx>
          <c:spPr>
            <a:solidFill>
              <a:schemeClr val="accent4"/>
            </a:solidFill>
            <a:ln>
              <a:noFill/>
            </a:ln>
            <a:effectLst/>
          </c:spPr>
          <c:invertIfNegative val="0"/>
          <c:errBars>
            <c:errBarType val="both"/>
            <c:errValType val="cust"/>
            <c:noEndCap val="0"/>
            <c:plus>
              <c:numRef>
                <c:f>'Summary Graphs'!$D$35:$E$35</c:f>
                <c:numCache>
                  <c:formatCode>General</c:formatCode>
                  <c:ptCount val="2"/>
                  <c:pt idx="0">
                    <c:v>19.888671258896</c:v>
                  </c:pt>
                  <c:pt idx="1">
                    <c:v>14.751542668857001</c:v>
                  </c:pt>
                </c:numCache>
              </c:numRef>
            </c:plus>
            <c:minus>
              <c:numRef>
                <c:f>'Summary Graphs'!$D$35:$E$35</c:f>
                <c:numCache>
                  <c:formatCode>General</c:formatCode>
                  <c:ptCount val="2"/>
                  <c:pt idx="0">
                    <c:v>19.888671258896</c:v>
                  </c:pt>
                  <c:pt idx="1">
                    <c:v>14.751542668857001</c:v>
                  </c:pt>
                </c:numCache>
              </c:numRef>
            </c:minus>
            <c:spPr>
              <a:noFill/>
              <a:ln w="9525" cap="flat" cmpd="sng" algn="ctr">
                <a:solidFill>
                  <a:schemeClr val="tx1">
                    <a:lumMod val="65000"/>
                    <a:lumOff val="35000"/>
                  </a:schemeClr>
                </a:solidFill>
                <a:round/>
              </a:ln>
              <a:effectLst/>
            </c:spPr>
          </c:errBars>
          <c:cat>
            <c:numRef>
              <c:f>'Summary Graphs'!$B$31:$C$31</c:f>
              <c:numCache>
                <c:formatCode>General</c:formatCode>
                <c:ptCount val="2"/>
                <c:pt idx="0">
                  <c:v>2014</c:v>
                </c:pt>
                <c:pt idx="1">
                  <c:v>2015</c:v>
                </c:pt>
              </c:numCache>
            </c:numRef>
          </c:cat>
          <c:val>
            <c:numRef>
              <c:f>'Summary Graphs'!$B$35:$C$35</c:f>
              <c:numCache>
                <c:formatCode>0.00</c:formatCode>
                <c:ptCount val="2"/>
                <c:pt idx="0">
                  <c:v>133.78333333333001</c:v>
                </c:pt>
                <c:pt idx="1">
                  <c:v>155.68333333333001</c:v>
                </c:pt>
              </c:numCache>
            </c:numRef>
          </c:val>
        </c:ser>
        <c:ser>
          <c:idx val="4"/>
          <c:order val="4"/>
          <c:tx>
            <c:strRef>
              <c:f>'Summary Graphs'!$A$36</c:f>
              <c:strCache>
                <c:ptCount val="1"/>
                <c:pt idx="0">
                  <c:v>Radish</c:v>
                </c:pt>
              </c:strCache>
            </c:strRef>
          </c:tx>
          <c:spPr>
            <a:solidFill>
              <a:schemeClr val="accent5"/>
            </a:solidFill>
            <a:ln>
              <a:noFill/>
            </a:ln>
            <a:effectLst/>
          </c:spPr>
          <c:invertIfNegative val="0"/>
          <c:errBars>
            <c:errBarType val="both"/>
            <c:errValType val="cust"/>
            <c:noEndCap val="0"/>
            <c:plus>
              <c:numRef>
                <c:f>'Summary Graphs'!$D$36:$E$36</c:f>
                <c:numCache>
                  <c:formatCode>General</c:formatCode>
                  <c:ptCount val="2"/>
                  <c:pt idx="0">
                    <c:v>17.211281506938999</c:v>
                  </c:pt>
                  <c:pt idx="1">
                    <c:v>12.767140548211</c:v>
                  </c:pt>
                </c:numCache>
              </c:numRef>
            </c:plus>
            <c:minus>
              <c:numRef>
                <c:f>'Summary Graphs'!$D$36:$E$36</c:f>
                <c:numCache>
                  <c:formatCode>General</c:formatCode>
                  <c:ptCount val="2"/>
                  <c:pt idx="0">
                    <c:v>17.211281506938999</c:v>
                  </c:pt>
                  <c:pt idx="1">
                    <c:v>12.767140548211</c:v>
                  </c:pt>
                </c:numCache>
              </c:numRef>
            </c:minus>
            <c:spPr>
              <a:noFill/>
              <a:ln w="9525" cap="flat" cmpd="sng" algn="ctr">
                <a:solidFill>
                  <a:schemeClr val="tx1">
                    <a:lumMod val="65000"/>
                    <a:lumOff val="35000"/>
                  </a:schemeClr>
                </a:solidFill>
                <a:round/>
              </a:ln>
              <a:effectLst/>
            </c:spPr>
          </c:errBars>
          <c:cat>
            <c:numRef>
              <c:f>'Summary Graphs'!$B$31:$C$31</c:f>
              <c:numCache>
                <c:formatCode>General</c:formatCode>
                <c:ptCount val="2"/>
                <c:pt idx="0">
                  <c:v>2014</c:v>
                </c:pt>
                <c:pt idx="1">
                  <c:v>2015</c:v>
                </c:pt>
              </c:numCache>
            </c:numRef>
          </c:cat>
          <c:val>
            <c:numRef>
              <c:f>'Summary Graphs'!$B$36:$C$36</c:f>
              <c:numCache>
                <c:formatCode>0.00</c:formatCode>
                <c:ptCount val="2"/>
                <c:pt idx="0">
                  <c:v>106.80666666667</c:v>
                </c:pt>
                <c:pt idx="1">
                  <c:v>134.22666666667001</c:v>
                </c:pt>
              </c:numCache>
            </c:numRef>
          </c:val>
        </c:ser>
        <c:dLbls>
          <c:showLegendKey val="0"/>
          <c:showVal val="0"/>
          <c:showCatName val="0"/>
          <c:showSerName val="0"/>
          <c:showPercent val="0"/>
          <c:showBubbleSize val="0"/>
        </c:dLbls>
        <c:gapWidth val="219"/>
        <c:overlap val="-27"/>
        <c:axId val="643609552"/>
        <c:axId val="643609944"/>
      </c:barChart>
      <c:catAx>
        <c:axId val="643609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609944"/>
        <c:crosses val="autoZero"/>
        <c:auto val="1"/>
        <c:lblAlgn val="ctr"/>
        <c:lblOffset val="100"/>
        <c:noMultiLvlLbl val="0"/>
      </c:catAx>
      <c:valAx>
        <c:axId val="643609944"/>
        <c:scaling>
          <c:orientation val="minMax"/>
          <c:max val="180"/>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Broccoli</a:t>
                </a:r>
                <a:r>
                  <a:rPr lang="en-US" baseline="0"/>
                  <a:t> Average Head Weight (g)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6095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Graphs!$H$1</c:f>
              <c:strCache>
                <c:ptCount val="1"/>
                <c:pt idx="0">
                  <c:v>Height</c:v>
                </c:pt>
              </c:strCache>
            </c:strRef>
          </c:tx>
          <c:spPr>
            <a:ln w="25400" cap="rnd">
              <a:noFill/>
              <a:round/>
            </a:ln>
            <a:effectLst/>
          </c:spPr>
          <c:marker>
            <c:symbol val="circ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linear"/>
            <c:dispRSqr val="0"/>
            <c:dispEq val="0"/>
          </c:trendline>
          <c:trendline>
            <c:spPr>
              <a:ln w="19050" cap="rnd">
                <a:solidFill>
                  <a:schemeClr val="dk1">
                    <a:tint val="88500"/>
                  </a:schemeClr>
                </a:solidFill>
                <a:prstDash val="sysDot"/>
              </a:ln>
              <a:effectLst/>
            </c:spPr>
            <c:trendlineType val="linear"/>
            <c:dispRSqr val="1"/>
            <c:dispEq val="1"/>
            <c:trendlineLbl>
              <c:layout>
                <c:manualLayout>
                  <c:x val="0.13497725284339468"/>
                  <c:y val="-0.11209791484397784"/>
                </c:manualLayout>
              </c:layout>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R² = 0.3352</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trendline>
            <c:spPr>
              <a:ln w="19050" cap="rnd">
                <a:solidFill>
                  <a:schemeClr val="dk1">
                    <a:tint val="88500"/>
                  </a:schemeClr>
                </a:solidFill>
                <a:prstDash val="sysDot"/>
              </a:ln>
              <a:effectLst/>
            </c:spPr>
            <c:trendlineType val="linear"/>
            <c:dispRSqr val="0"/>
            <c:dispEq val="0"/>
          </c:trendline>
          <c:xVal>
            <c:numRef>
              <c:f>Graphs!$H$2:$H$31</c:f>
              <c:numCache>
                <c:formatCode>0.00</c:formatCode>
                <c:ptCount val="30"/>
                <c:pt idx="0">
                  <c:v>17.666666666666668</c:v>
                </c:pt>
                <c:pt idx="1">
                  <c:v>30</c:v>
                </c:pt>
                <c:pt idx="2">
                  <c:v>35.666666666666664</c:v>
                </c:pt>
                <c:pt idx="3">
                  <c:v>34.5</c:v>
                </c:pt>
                <c:pt idx="4">
                  <c:v>44.166666666666664</c:v>
                </c:pt>
                <c:pt idx="5">
                  <c:v>47.333333333333336</c:v>
                </c:pt>
                <c:pt idx="6">
                  <c:v>42</c:v>
                </c:pt>
                <c:pt idx="7">
                  <c:v>53</c:v>
                </c:pt>
                <c:pt idx="8">
                  <c:v>37</c:v>
                </c:pt>
                <c:pt idx="9">
                  <c:v>56.166666666666664</c:v>
                </c:pt>
                <c:pt idx="10">
                  <c:v>53.333333333333336</c:v>
                </c:pt>
                <c:pt idx="11">
                  <c:v>45.166666666666664</c:v>
                </c:pt>
                <c:pt idx="12">
                  <c:v>85</c:v>
                </c:pt>
                <c:pt idx="13">
                  <c:v>76.333333333333329</c:v>
                </c:pt>
                <c:pt idx="14">
                  <c:v>61</c:v>
                </c:pt>
                <c:pt idx="15">
                  <c:v>31</c:v>
                </c:pt>
                <c:pt idx="16">
                  <c:v>37</c:v>
                </c:pt>
                <c:pt idx="17">
                  <c:v>39</c:v>
                </c:pt>
                <c:pt idx="18">
                  <c:v>45</c:v>
                </c:pt>
                <c:pt idx="19">
                  <c:v>36</c:v>
                </c:pt>
                <c:pt idx="20">
                  <c:v>36</c:v>
                </c:pt>
                <c:pt idx="21">
                  <c:v>80</c:v>
                </c:pt>
                <c:pt idx="22">
                  <c:v>72</c:v>
                </c:pt>
                <c:pt idx="23">
                  <c:v>73</c:v>
                </c:pt>
                <c:pt idx="24">
                  <c:v>81</c:v>
                </c:pt>
                <c:pt idx="25">
                  <c:v>79</c:v>
                </c:pt>
                <c:pt idx="26">
                  <c:v>83</c:v>
                </c:pt>
                <c:pt idx="27">
                  <c:v>105</c:v>
                </c:pt>
                <c:pt idx="28">
                  <c:v>111</c:v>
                </c:pt>
                <c:pt idx="29">
                  <c:v>99</c:v>
                </c:pt>
              </c:numCache>
            </c:numRef>
          </c:xVal>
          <c:yVal>
            <c:numRef>
              <c:f>Graphs!$I$2:$I$31</c:f>
              <c:numCache>
                <c:formatCode>0.00</c:formatCode>
                <c:ptCount val="30"/>
                <c:pt idx="0">
                  <c:v>30.266666666666666</c:v>
                </c:pt>
                <c:pt idx="1">
                  <c:v>55.133333333333333</c:v>
                </c:pt>
                <c:pt idx="2">
                  <c:v>82.733333333333334</c:v>
                </c:pt>
                <c:pt idx="3">
                  <c:v>235.06666666666669</c:v>
                </c:pt>
                <c:pt idx="4">
                  <c:v>305.2</c:v>
                </c:pt>
                <c:pt idx="5">
                  <c:v>311.5333333333333</c:v>
                </c:pt>
                <c:pt idx="6">
                  <c:v>108.19999999999999</c:v>
                </c:pt>
                <c:pt idx="7">
                  <c:v>194.6</c:v>
                </c:pt>
                <c:pt idx="8">
                  <c:v>124.40000000000002</c:v>
                </c:pt>
                <c:pt idx="9">
                  <c:v>51.6</c:v>
                </c:pt>
                <c:pt idx="10">
                  <c:v>168.79999999999998</c:v>
                </c:pt>
                <c:pt idx="11">
                  <c:v>66.2</c:v>
                </c:pt>
                <c:pt idx="12">
                  <c:v>115.46666666666665</c:v>
                </c:pt>
                <c:pt idx="13">
                  <c:v>127.46666666666668</c:v>
                </c:pt>
                <c:pt idx="14">
                  <c:v>84.333333333333329</c:v>
                </c:pt>
                <c:pt idx="15">
                  <c:v>256</c:v>
                </c:pt>
                <c:pt idx="16">
                  <c:v>244</c:v>
                </c:pt>
                <c:pt idx="17">
                  <c:v>216</c:v>
                </c:pt>
                <c:pt idx="18">
                  <c:v>356</c:v>
                </c:pt>
                <c:pt idx="19">
                  <c:v>294</c:v>
                </c:pt>
                <c:pt idx="20">
                  <c:v>222</c:v>
                </c:pt>
                <c:pt idx="21">
                  <c:v>382</c:v>
                </c:pt>
                <c:pt idx="22">
                  <c:v>316</c:v>
                </c:pt>
                <c:pt idx="23">
                  <c:v>340</c:v>
                </c:pt>
                <c:pt idx="24">
                  <c:v>360</c:v>
                </c:pt>
                <c:pt idx="25">
                  <c:v>446</c:v>
                </c:pt>
                <c:pt idx="26">
                  <c:v>466</c:v>
                </c:pt>
                <c:pt idx="27">
                  <c:v>476</c:v>
                </c:pt>
                <c:pt idx="28">
                  <c:v>334</c:v>
                </c:pt>
                <c:pt idx="29">
                  <c:v>374</c:v>
                </c:pt>
              </c:numCache>
            </c:numRef>
          </c:yVal>
          <c:smooth val="0"/>
          <c:extLst xmlns:c16r2="http://schemas.microsoft.com/office/drawing/2015/06/chart">
            <c:ext xmlns:c16="http://schemas.microsoft.com/office/drawing/2014/chart" uri="{C3380CC4-5D6E-409C-BE32-E72D297353CC}">
              <c16:uniqueId val="{00000000-3D5B-413B-8D69-C35B5240DA41}"/>
            </c:ext>
          </c:extLst>
        </c:ser>
        <c:dLbls>
          <c:showLegendKey val="0"/>
          <c:showVal val="0"/>
          <c:showCatName val="0"/>
          <c:showSerName val="0"/>
          <c:showPercent val="0"/>
          <c:showBubbleSize val="0"/>
        </c:dLbls>
        <c:axId val="581182616"/>
        <c:axId val="581181048"/>
      </c:scatterChart>
      <c:valAx>
        <c:axId val="581182616"/>
        <c:scaling>
          <c:orientation val="minMax"/>
          <c:max val="122.11999999999999"/>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Height (cm)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81048"/>
        <c:crosses val="autoZero"/>
        <c:crossBetween val="midCat"/>
        <c:minorUnit val="5"/>
      </c:valAx>
      <c:valAx>
        <c:axId val="581181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Bomass (g/m2)</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11826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2"/>
          <c:order val="1"/>
          <c:tx>
            <c:strRef>
              <c:f>Graphs!$M$1</c:f>
              <c:strCache>
                <c:ptCount val="1"/>
                <c:pt idx="0">
                  <c:v>Weedy Biomass</c:v>
                </c:pt>
              </c:strCache>
            </c:strRef>
          </c:tx>
          <c:spPr>
            <a:solidFill>
              <a:schemeClr val="bg1">
                <a:lumMod val="750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D029-49AB-ABEA-A854F45EB33F}"/>
              </c:ext>
            </c:extLst>
          </c:dPt>
          <c:dPt>
            <c:idx val="1"/>
            <c:invertIfNegative val="0"/>
            <c:bubble3D val="0"/>
            <c:extLst xmlns:c16r2="http://schemas.microsoft.com/office/drawing/2015/06/chart">
              <c:ext xmlns:c16="http://schemas.microsoft.com/office/drawing/2014/chart" uri="{C3380CC4-5D6E-409C-BE32-E72D297353CC}">
                <c16:uniqueId val="{00000001-D029-49AB-ABEA-A854F45EB33F}"/>
              </c:ext>
            </c:extLst>
          </c:dPt>
          <c:dPt>
            <c:idx val="2"/>
            <c:invertIfNegative val="0"/>
            <c:bubble3D val="0"/>
            <c:extLst xmlns:c16r2="http://schemas.microsoft.com/office/drawing/2015/06/chart">
              <c:ext xmlns:c16="http://schemas.microsoft.com/office/drawing/2014/chart" uri="{C3380CC4-5D6E-409C-BE32-E72D297353CC}">
                <c16:uniqueId val="{00000002-D029-49AB-ABEA-A854F45EB33F}"/>
              </c:ext>
            </c:extLst>
          </c:dPt>
          <c:dPt>
            <c:idx val="4"/>
            <c:invertIfNegative val="0"/>
            <c:bubble3D val="0"/>
            <c:extLst xmlns:c16r2="http://schemas.microsoft.com/office/drawing/2015/06/chart">
              <c:ext xmlns:c16="http://schemas.microsoft.com/office/drawing/2014/chart" uri="{C3380CC4-5D6E-409C-BE32-E72D297353CC}">
                <c16:uniqueId val="{00000003-D029-49AB-ABEA-A854F45EB33F}"/>
              </c:ext>
            </c:extLst>
          </c:dPt>
          <c:dLbls>
            <c:dLbl>
              <c:idx val="0"/>
              <c:layout>
                <c:manualLayout>
                  <c:x val="-2.5009378516943855E-3"/>
                  <c:y val="4.1532670138631447E-4"/>
                </c:manualLayout>
              </c:layout>
              <c:tx>
                <c:rich>
                  <a:bodyPr/>
                  <a:lstStyle/>
                  <a:p>
                    <a:r>
                      <a:rPr lang="en-US" sz="1200" dirty="0" smtClean="0"/>
                      <a:t>a</a:t>
                    </a:r>
                    <a:endParaRPr lang="en-US" sz="1000" dirty="0"/>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029-49AB-ABEA-A854F45EB33F}"/>
                </c:ext>
                <c:ext xmlns:c15="http://schemas.microsoft.com/office/drawing/2012/chart" uri="{CE6537A1-D6FC-4f65-9D91-7224C49458BB}"/>
              </c:extLst>
            </c:dLbl>
            <c:dLbl>
              <c:idx val="1"/>
              <c:layout>
                <c:manualLayout>
                  <c:x val="-4.5849997617978717E-17"/>
                  <c:y val="-1.6009998403639157E-3"/>
                </c:manualLayout>
              </c:layout>
              <c:tx>
                <c:rich>
                  <a:bodyPr/>
                  <a:lstStyle/>
                  <a:p>
                    <a:r>
                      <a:rPr lang="en-US" dirty="0" smtClean="0"/>
                      <a:t>c</a:t>
                    </a:r>
                    <a:endParaRPr lang="en-US" dirty="0"/>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029-49AB-ABEA-A854F45EB33F}"/>
                </c:ext>
                <c:ext xmlns:c15="http://schemas.microsoft.com/office/drawing/2012/chart" uri="{CE6537A1-D6FC-4f65-9D91-7224C49458BB}"/>
              </c:extLst>
            </c:dLbl>
            <c:dLbl>
              <c:idx val="2"/>
              <c:layout>
                <c:manualLayout>
                  <c:x val="-2.5009378516943855E-3"/>
                  <c:y val="-2.039794410553992E-3"/>
                </c:manualLayout>
              </c:layout>
              <c:tx>
                <c:rich>
                  <a:bodyPr/>
                  <a:lstStyle/>
                  <a:p>
                    <a:r>
                      <a:rPr lang="en-US" dirty="0" smtClean="0"/>
                      <a:t>b</a:t>
                    </a:r>
                    <a:endParaRPr lang="en-US" dirty="0"/>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029-49AB-ABEA-A854F45EB33F}"/>
                </c:ext>
                <c:ext xmlns:c15="http://schemas.microsoft.com/office/drawing/2012/chart" uri="{CE6537A1-D6FC-4f65-9D91-7224C49458BB}"/>
              </c:extLst>
            </c:dLbl>
            <c:dLbl>
              <c:idx val="3"/>
              <c:tx>
                <c:rich>
                  <a:bodyPr/>
                  <a:lstStyle/>
                  <a:p>
                    <a:r>
                      <a:rPr lang="en-US" dirty="0" smtClean="0"/>
                      <a:t>c</a:t>
                    </a:r>
                    <a:endParaRPr lang="en-US" dirty="0"/>
                  </a:p>
                </c:rich>
              </c:tx>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029-49AB-ABEA-A854F45EB33F}"/>
                </c:ext>
                <c:ext xmlns:c15="http://schemas.microsoft.com/office/drawing/2012/chart" uri="{CE6537A1-D6FC-4f65-9D91-7224C49458BB}"/>
              </c:extLst>
            </c:dLbl>
            <c:dLbl>
              <c:idx val="4"/>
              <c:layout>
                <c:manualLayout>
                  <c:x val="0"/>
                  <c:y val="-3.5188159095777558E-3"/>
                </c:manualLayout>
              </c:layout>
              <c:tx>
                <c:rich>
                  <a:bodyPr/>
                  <a:lstStyle/>
                  <a:p>
                    <a:r>
                      <a:rPr lang="en-US" dirty="0" smtClean="0"/>
                      <a:t>c</a:t>
                    </a:r>
                    <a:endParaRPr lang="en-US" dirty="0"/>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029-49AB-ABEA-A854F45EB33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Graphs!$I$2:$I$6</c:f>
              <c:strCache>
                <c:ptCount val="5"/>
                <c:pt idx="0">
                  <c:v>Control</c:v>
                </c:pt>
                <c:pt idx="1">
                  <c:v>Winter Peas</c:v>
                </c:pt>
                <c:pt idx="2">
                  <c:v>Bell Beans</c:v>
                </c:pt>
                <c:pt idx="3">
                  <c:v>Mustard</c:v>
                </c:pt>
                <c:pt idx="4">
                  <c:v>Radish</c:v>
                </c:pt>
              </c:strCache>
            </c:strRef>
          </c:cat>
          <c:val>
            <c:numRef>
              <c:f>Graphs!$N$2:$N$6</c:f>
              <c:numCache>
                <c:formatCode>0</c:formatCode>
                <c:ptCount val="5"/>
                <c:pt idx="0">
                  <c:v>238.39999999999998</c:v>
                </c:pt>
                <c:pt idx="1">
                  <c:v>24.533333333333335</c:v>
                </c:pt>
                <c:pt idx="2">
                  <c:v>124.19999999999999</c:v>
                </c:pt>
                <c:pt idx="3">
                  <c:v>0</c:v>
                </c:pt>
                <c:pt idx="4">
                  <c:v>16.977777777777778</c:v>
                </c:pt>
              </c:numCache>
            </c:numRef>
          </c:val>
          <c:extLst xmlns:c16r2="http://schemas.microsoft.com/office/drawing/2015/06/chart">
            <c:ext xmlns:c16="http://schemas.microsoft.com/office/drawing/2014/chart" uri="{C3380CC4-5D6E-409C-BE32-E72D297353CC}">
              <c16:uniqueId val="{00000005-D029-49AB-ABEA-A854F45EB33F}"/>
            </c:ext>
          </c:extLst>
        </c:ser>
        <c:ser>
          <c:idx val="1"/>
          <c:order val="2"/>
          <c:tx>
            <c:strRef>
              <c:f>Graphs!$K$1</c:f>
              <c:strCache>
                <c:ptCount val="1"/>
                <c:pt idx="0">
                  <c:v>Cover Crop Biomass</c:v>
                </c:pt>
              </c:strCache>
            </c:strRef>
          </c:tx>
          <c:spPr>
            <a:solidFill>
              <a:schemeClr val="tx1">
                <a:lumMod val="75000"/>
                <a:lumOff val="25000"/>
              </a:schemeClr>
            </a:solidFill>
            <a:ln>
              <a:noFill/>
            </a:ln>
            <a:effectLst/>
          </c:spPr>
          <c:invertIfNegative val="0"/>
          <c:dPt>
            <c:idx val="1"/>
            <c:invertIfNegative val="0"/>
            <c:bubble3D val="0"/>
            <c:extLst xmlns:c16r2="http://schemas.microsoft.com/office/drawing/2015/06/chart">
              <c:ext xmlns:c16="http://schemas.microsoft.com/office/drawing/2014/chart" uri="{C3380CC4-5D6E-409C-BE32-E72D297353CC}">
                <c16:uniqueId val="{00000006-D029-49AB-ABEA-A854F45EB33F}"/>
              </c:ext>
            </c:extLst>
          </c:dPt>
          <c:dPt>
            <c:idx val="2"/>
            <c:invertIfNegative val="0"/>
            <c:bubble3D val="0"/>
            <c:extLst xmlns:c16r2="http://schemas.microsoft.com/office/drawing/2015/06/chart">
              <c:ext xmlns:c16="http://schemas.microsoft.com/office/drawing/2014/chart" uri="{C3380CC4-5D6E-409C-BE32-E72D297353CC}">
                <c16:uniqueId val="{00000007-D029-49AB-ABEA-A854F45EB33F}"/>
              </c:ext>
            </c:extLst>
          </c:dPt>
          <c:dPt>
            <c:idx val="3"/>
            <c:invertIfNegative val="0"/>
            <c:bubble3D val="0"/>
            <c:extLst xmlns:c16r2="http://schemas.microsoft.com/office/drawing/2015/06/chart">
              <c:ext xmlns:c16="http://schemas.microsoft.com/office/drawing/2014/chart" uri="{C3380CC4-5D6E-409C-BE32-E72D297353CC}">
                <c16:uniqueId val="{00000008-D029-49AB-ABEA-A854F45EB33F}"/>
              </c:ext>
            </c:extLst>
          </c:dPt>
          <c:dPt>
            <c:idx val="4"/>
            <c:invertIfNegative val="0"/>
            <c:bubble3D val="0"/>
            <c:extLst xmlns:c16r2="http://schemas.microsoft.com/office/drawing/2015/06/chart">
              <c:ext xmlns:c16="http://schemas.microsoft.com/office/drawing/2014/chart" uri="{C3380CC4-5D6E-409C-BE32-E72D297353CC}">
                <c16:uniqueId val="{00000009-D029-49AB-ABEA-A854F45EB33F}"/>
              </c:ext>
            </c:extLst>
          </c:dPt>
          <c:dLbls>
            <c:dLbl>
              <c:idx val="0"/>
              <c:layout>
                <c:manualLayout>
                  <c:x val="0"/>
                  <c:y val="-7.7471255271742909E-3"/>
                </c:manualLayout>
              </c:layout>
              <c:tx>
                <c:rich>
                  <a:bodyPr/>
                  <a:lstStyle/>
                  <a:p>
                    <a:r>
                      <a:rPr lang="en-US" smtClean="0"/>
                      <a:t>C</a:t>
                    </a:r>
                    <a:endParaRPr lang="en-US" dirty="0"/>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029-49AB-ABEA-A854F45EB33F}"/>
                </c:ext>
                <c:ext xmlns:c15="http://schemas.microsoft.com/office/drawing/2012/chart" uri="{CE6537A1-D6FC-4f65-9D91-7224C49458BB}"/>
              </c:extLst>
            </c:dLbl>
            <c:dLbl>
              <c:idx val="1"/>
              <c:layout>
                <c:manualLayout>
                  <c:x val="0"/>
                  <c:y val="-0.25946304443179924"/>
                </c:manualLayout>
              </c:layout>
              <c:tx>
                <c:rich>
                  <a:bodyPr/>
                  <a:lstStyle/>
                  <a:p>
                    <a:r>
                      <a:rPr lang="en-US" smtClean="0"/>
                      <a:t>B</a:t>
                    </a:r>
                    <a:endParaRPr lang="en-US" dirty="0"/>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029-49AB-ABEA-A854F45EB33F}"/>
                </c:ext>
                <c:ext xmlns:c15="http://schemas.microsoft.com/office/drawing/2012/chart" uri="{CE6537A1-D6FC-4f65-9D91-7224C49458BB}"/>
              </c:extLst>
            </c:dLbl>
            <c:dLbl>
              <c:idx val="2"/>
              <c:layout>
                <c:manualLayout>
                  <c:x val="0"/>
                  <c:y val="-0.21761022666843585"/>
                </c:manualLayout>
              </c:layout>
              <c:tx>
                <c:rich>
                  <a:bodyPr/>
                  <a:lstStyle/>
                  <a:p>
                    <a:r>
                      <a:rPr lang="en-US" smtClean="0"/>
                      <a:t>B</a:t>
                    </a:r>
                    <a:endParaRPr lang="en-US" dirty="0"/>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029-49AB-ABEA-A854F45EB33F}"/>
                </c:ext>
                <c:ext xmlns:c15="http://schemas.microsoft.com/office/drawing/2012/chart" uri="{CE6537A1-D6FC-4f65-9D91-7224C49458BB}"/>
              </c:extLst>
            </c:dLbl>
            <c:dLbl>
              <c:idx val="3"/>
              <c:layout>
                <c:manualLayout>
                  <c:x val="0"/>
                  <c:y val="-0.38411774678289712"/>
                </c:manualLayout>
              </c:layout>
              <c:tx>
                <c:rich>
                  <a:bodyPr/>
                  <a:lstStyle/>
                  <a:p>
                    <a:r>
                      <a:rPr lang="en-US" smtClean="0"/>
                      <a:t>A</a:t>
                    </a:r>
                    <a:endParaRPr lang="en-US" dirty="0"/>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029-49AB-ABEA-A854F45EB33F}"/>
                </c:ext>
                <c:ext xmlns:c15="http://schemas.microsoft.com/office/drawing/2012/chart" uri="{CE6537A1-D6FC-4f65-9D91-7224C49458BB}"/>
              </c:extLst>
            </c:dLbl>
            <c:dLbl>
              <c:idx val="4"/>
              <c:layout>
                <c:manualLayout>
                  <c:x val="-1.4341084746099563E-3"/>
                  <c:y val="-0.35357961753906092"/>
                </c:manualLayout>
              </c:layout>
              <c:tx>
                <c:rich>
                  <a:bodyPr/>
                  <a:lstStyle/>
                  <a:p>
                    <a:r>
                      <a:rPr lang="en-US" smtClean="0"/>
                      <a:t>A</a:t>
                    </a:r>
                    <a:endParaRPr lang="en-US" dirty="0"/>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029-49AB-ABEA-A854F45EB33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Graphs!$I$2:$I$6</c:f>
              <c:strCache>
                <c:ptCount val="5"/>
                <c:pt idx="0">
                  <c:v>Control</c:v>
                </c:pt>
                <c:pt idx="1">
                  <c:v>Winter Peas</c:v>
                </c:pt>
                <c:pt idx="2">
                  <c:v>Bell Beans</c:v>
                </c:pt>
                <c:pt idx="3">
                  <c:v>Mustard</c:v>
                </c:pt>
                <c:pt idx="4">
                  <c:v>Radish</c:v>
                </c:pt>
              </c:strCache>
            </c:strRef>
          </c:cat>
          <c:val>
            <c:numRef>
              <c:f>Graphs!$L$2:$L$6</c:f>
              <c:numCache>
                <c:formatCode>0</c:formatCode>
                <c:ptCount val="5"/>
                <c:pt idx="0">
                  <c:v>0</c:v>
                </c:pt>
                <c:pt idx="1">
                  <c:v>266.66666666666669</c:v>
                </c:pt>
                <c:pt idx="2">
                  <c:v>222.22222222222223</c:v>
                </c:pt>
                <c:pt idx="3">
                  <c:v>424.44444444444446</c:v>
                </c:pt>
                <c:pt idx="4">
                  <c:v>377.77777777777777</c:v>
                </c:pt>
              </c:numCache>
            </c:numRef>
          </c:val>
          <c:extLst xmlns:c16r2="http://schemas.microsoft.com/office/drawing/2015/06/chart">
            <c:ext xmlns:c16="http://schemas.microsoft.com/office/drawing/2014/chart" uri="{C3380CC4-5D6E-409C-BE32-E72D297353CC}">
              <c16:uniqueId val="{0000000B-D029-49AB-ABEA-A854F45EB33F}"/>
            </c:ext>
          </c:extLst>
        </c:ser>
        <c:dLbls>
          <c:showLegendKey val="0"/>
          <c:showVal val="1"/>
          <c:showCatName val="0"/>
          <c:showSerName val="0"/>
          <c:showPercent val="0"/>
          <c:showBubbleSize val="0"/>
        </c:dLbls>
        <c:gapWidth val="150"/>
        <c:axId val="581184184"/>
        <c:axId val="581174776"/>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Graphs!$J$1</c15:sqref>
                        </c15:formulaRef>
                      </c:ext>
                    </c:extLst>
                    <c:strCache>
                      <c:ptCount val="1"/>
                      <c:pt idx="0">
                        <c:v>Height [cm]</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Graphs!$I$2:$I$6</c15:sqref>
                        </c15:formulaRef>
                      </c:ext>
                    </c:extLst>
                    <c:strCache>
                      <c:ptCount val="5"/>
                      <c:pt idx="0">
                        <c:v>Control</c:v>
                      </c:pt>
                      <c:pt idx="1">
                        <c:v>Winter Peas</c:v>
                      </c:pt>
                      <c:pt idx="2">
                        <c:v>Bell Beans</c:v>
                      </c:pt>
                      <c:pt idx="3">
                        <c:v>Mustard</c:v>
                      </c:pt>
                      <c:pt idx="4">
                        <c:v>Radish</c:v>
                      </c:pt>
                    </c:strCache>
                  </c:strRef>
                </c:cat>
                <c:val>
                  <c:numRef>
                    <c:extLst xmlns:c16r2="http://schemas.microsoft.com/office/drawing/2015/06/chart">
                      <c:ext uri="{02D57815-91ED-43cb-92C2-25804820EDAC}">
                        <c15:formulaRef>
                          <c15:sqref>Graphs!$J$2:$J$6</c15:sqref>
                        </c15:formulaRef>
                      </c:ext>
                    </c:extLst>
                    <c:numCache>
                      <c:formatCode>0</c:formatCode>
                      <c:ptCount val="5"/>
                      <c:pt idx="0">
                        <c:v>35.777777777777779</c:v>
                      </c:pt>
                      <c:pt idx="1">
                        <c:v>39</c:v>
                      </c:pt>
                      <c:pt idx="2">
                        <c:v>74.666666666666671</c:v>
                      </c:pt>
                      <c:pt idx="3">
                        <c:v>81.222222222222229</c:v>
                      </c:pt>
                      <c:pt idx="4">
                        <c:v>104.77777777777777</c:v>
                      </c:pt>
                    </c:numCache>
                  </c:numRef>
                </c:val>
                <c:extLst xmlns:c16r2="http://schemas.microsoft.com/office/drawing/2015/06/chart">
                  <c:ext xmlns:c16="http://schemas.microsoft.com/office/drawing/2014/chart" uri="{C3380CC4-5D6E-409C-BE32-E72D297353CC}">
                    <c16:uniqueId val="{0000000C-D029-49AB-ABEA-A854F45EB33F}"/>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Graphs!$O$1</c15:sqref>
                        </c15:formulaRef>
                      </c:ext>
                    </c:extLst>
                    <c:strCache>
                      <c:ptCount val="1"/>
                      <c:pt idx="0">
                        <c:v>Total Biomass</c:v>
                      </c:pt>
                    </c:strCache>
                  </c:strRef>
                </c:tx>
                <c:spPr>
                  <a:solidFill>
                    <a:schemeClr val="dk1">
                      <a:tint val="98500"/>
                    </a:schemeClr>
                  </a:solidFill>
                  <a:ln>
                    <a:noFill/>
                  </a:ln>
                  <a:effectLst/>
                </c:spPr>
                <c:invertIfNegative val="0"/>
                <c:dPt>
                  <c:idx val="1"/>
                  <c:invertIfNegative val="0"/>
                  <c:bubble3D val="0"/>
                  <c:extLst xmlns:c15="http://schemas.microsoft.com/office/drawing/2012/chart" xmlns:c16r2="http://schemas.microsoft.com/office/drawing/2015/06/chart">
                    <c:ext xmlns:c16="http://schemas.microsoft.com/office/drawing/2014/chart" uri="{C3380CC4-5D6E-409C-BE32-E72D297353CC}">
                      <c16:uniqueId val="{0000000D-D029-49AB-ABEA-A854F45EB33F}"/>
                    </c:ext>
                  </c:extLst>
                </c:dPt>
                <c:dPt>
                  <c:idx val="2"/>
                  <c:invertIfNegative val="0"/>
                  <c:bubble3D val="0"/>
                  <c:extLst xmlns:c15="http://schemas.microsoft.com/office/drawing/2012/chart" xmlns:c16r2="http://schemas.microsoft.com/office/drawing/2015/06/chart">
                    <c:ext xmlns:c16="http://schemas.microsoft.com/office/drawing/2014/chart" uri="{C3380CC4-5D6E-409C-BE32-E72D297353CC}">
                      <c16:uniqueId val="{0000000E-D029-49AB-ABEA-A854F45EB33F}"/>
                    </c:ext>
                  </c:extLst>
                </c:dPt>
                <c:dPt>
                  <c:idx val="3"/>
                  <c:invertIfNegative val="0"/>
                  <c:bubble3D val="0"/>
                  <c:extLst xmlns:c15="http://schemas.microsoft.com/office/drawing/2012/chart" xmlns:c16r2="http://schemas.microsoft.com/office/drawing/2015/06/chart">
                    <c:ext xmlns:c16="http://schemas.microsoft.com/office/drawing/2014/chart" uri="{C3380CC4-5D6E-409C-BE32-E72D297353CC}">
                      <c16:uniqueId val="{0000000F-D029-49AB-ABEA-A854F45EB33F}"/>
                    </c:ext>
                  </c:extLst>
                </c:dPt>
                <c:dPt>
                  <c:idx val="4"/>
                  <c:invertIfNegative val="0"/>
                  <c:bubble3D val="0"/>
                  <c:extLst xmlns:c15="http://schemas.microsoft.com/office/drawing/2012/chart" xmlns:c16r2="http://schemas.microsoft.com/office/drawing/2015/06/chart">
                    <c:ext xmlns:c16="http://schemas.microsoft.com/office/drawing/2014/chart" uri="{C3380CC4-5D6E-409C-BE32-E72D297353CC}">
                      <c16:uniqueId val="{00000010-D029-49AB-ABEA-A854F45EB33F}"/>
                    </c:ext>
                  </c:extLst>
                </c:dPt>
                <c:dLbls>
                  <c:dLbl>
                    <c:idx val="0"/>
                    <c:tx>
                      <c:rich>
                        <a:bodyPr/>
                        <a:lstStyle/>
                        <a:p>
                          <a:r>
                            <a:rPr lang="en-US" smtClean="0"/>
                            <a:t>C</a:t>
                          </a:r>
                          <a:endParaRPr lang="en-US" dirty="0"/>
                        </a:p>
                      </c:rich>
                    </c:tx>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1-D029-49AB-ABEA-A854F45EB33F}"/>
                      </c:ext>
                      <c:ext xmlns:c15="http://schemas.microsoft.com/office/drawing/2012/chart" uri="{CE6537A1-D6FC-4f65-9D91-7224C49458BB}"/>
                    </c:extLst>
                  </c:dLbl>
                  <c:dLbl>
                    <c:idx val="1"/>
                    <c:tx>
                      <c:rich>
                        <a:bodyPr/>
                        <a:lstStyle/>
                        <a:p>
                          <a:r>
                            <a:rPr lang="en-US" dirty="0" smtClean="0"/>
                            <a:t>BC</a:t>
                          </a:r>
                          <a:endParaRPr lang="en-US" dirty="0"/>
                        </a:p>
                      </c:rich>
                    </c:tx>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0D-D029-49AB-ABEA-A854F45EB33F}"/>
                      </c:ext>
                      <c:ext xmlns:c15="http://schemas.microsoft.com/office/drawing/2012/chart" uri="{CE6537A1-D6FC-4f65-9D91-7224C49458BB}"/>
                    </c:extLst>
                  </c:dLbl>
                  <c:dLbl>
                    <c:idx val="2"/>
                    <c:tx>
                      <c:rich>
                        <a:bodyPr/>
                        <a:lstStyle/>
                        <a:p>
                          <a:r>
                            <a:rPr lang="en-US" smtClean="0"/>
                            <a:t>AB</a:t>
                          </a:r>
                          <a:endParaRPr lang="en-US" dirty="0"/>
                        </a:p>
                      </c:rich>
                    </c:tx>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0E-D029-49AB-ABEA-A854F45EB33F}"/>
                      </c:ext>
                      <c:ext xmlns:c15="http://schemas.microsoft.com/office/drawing/2012/chart" uri="{CE6537A1-D6FC-4f65-9D91-7224C49458BB}"/>
                    </c:extLst>
                  </c:dLbl>
                  <c:dLbl>
                    <c:idx val="3"/>
                    <c:tx>
                      <c:rich>
                        <a:bodyPr/>
                        <a:lstStyle/>
                        <a:p>
                          <a:r>
                            <a:rPr lang="en-US" smtClean="0"/>
                            <a:t>A</a:t>
                          </a:r>
                          <a:endParaRPr lang="en-US" dirty="0"/>
                        </a:p>
                      </c:rich>
                    </c:tx>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0F-D029-49AB-ABEA-A854F45EB33F}"/>
                      </c:ext>
                      <c:ext xmlns:c15="http://schemas.microsoft.com/office/drawing/2012/chart" uri="{CE6537A1-D6FC-4f65-9D91-7224C49458BB}"/>
                    </c:extLst>
                  </c:dLbl>
                  <c:dLbl>
                    <c:idx val="4"/>
                    <c:tx>
                      <c:rich>
                        <a:bodyPr/>
                        <a:lstStyle/>
                        <a:p>
                          <a:r>
                            <a:rPr lang="en-US" smtClean="0"/>
                            <a:t>A</a:t>
                          </a:r>
                          <a:endParaRPr lang="en-US" dirty="0"/>
                        </a:p>
                      </c:rich>
                    </c:tx>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0-D029-49AB-ABEA-A854F45EB33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Graphs!$I$2:$I$6</c15:sqref>
                        </c15:formulaRef>
                      </c:ext>
                    </c:extLst>
                    <c:strCache>
                      <c:ptCount val="5"/>
                      <c:pt idx="0">
                        <c:v>Control</c:v>
                      </c:pt>
                      <c:pt idx="1">
                        <c:v>Winter Peas</c:v>
                      </c:pt>
                      <c:pt idx="2">
                        <c:v>Bell Beans</c:v>
                      </c:pt>
                      <c:pt idx="3">
                        <c:v>Mustard</c:v>
                      </c:pt>
                      <c:pt idx="4">
                        <c:v>Radish</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Graphs!$O$2:$O$6</c15:sqref>
                        </c15:formulaRef>
                      </c:ext>
                    </c:extLst>
                    <c:numCache>
                      <c:formatCode>0</c:formatCode>
                      <c:ptCount val="5"/>
                      <c:pt idx="0">
                        <c:v>119.19999999999999</c:v>
                      </c:pt>
                      <c:pt idx="1">
                        <c:v>145.60000000000002</c:v>
                      </c:pt>
                      <c:pt idx="2">
                        <c:v>173.21111111111111</c:v>
                      </c:pt>
                      <c:pt idx="3">
                        <c:v>212.22222222222223</c:v>
                      </c:pt>
                      <c:pt idx="4">
                        <c:v>197.37777777777779</c:v>
                      </c:pt>
                    </c:numCache>
                  </c:numRef>
                </c:val>
                <c:extLst xmlns:c15="http://schemas.microsoft.com/office/drawing/2012/chart" xmlns:c16r2="http://schemas.microsoft.com/office/drawing/2015/06/chart">
                  <c:ext xmlns:c16="http://schemas.microsoft.com/office/drawing/2014/chart" uri="{C3380CC4-5D6E-409C-BE32-E72D297353CC}">
                    <c16:uniqueId val="{00000012-D029-49AB-ABEA-A854F45EB33F}"/>
                  </c:ext>
                </c:extLst>
              </c15:ser>
            </c15:filteredBarSeries>
          </c:ext>
        </c:extLst>
      </c:barChart>
      <c:catAx>
        <c:axId val="581184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Cover Crop Treatment</a:t>
                </a:r>
              </a:p>
            </c:rich>
          </c:tx>
          <c:layout>
            <c:manualLayout>
              <c:xMode val="edge"/>
              <c:yMode val="edge"/>
              <c:x val="0.39738898149798307"/>
              <c:y val="0.846171394578103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1174776"/>
        <c:crosses val="autoZero"/>
        <c:auto val="1"/>
        <c:lblAlgn val="ctr"/>
        <c:lblOffset val="100"/>
        <c:noMultiLvlLbl val="0"/>
      </c:catAx>
      <c:valAx>
        <c:axId val="581174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Dry Wt Biomass (g/m2)</a:t>
                </a:r>
              </a:p>
            </c:rich>
          </c:tx>
          <c:layout>
            <c:manualLayout>
              <c:xMode val="edge"/>
              <c:yMode val="edge"/>
              <c:x val="6.1420984140690797E-3"/>
              <c:y val="0.272743430261174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1184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Graphs!$H$1</c:f>
              <c:strCache>
                <c:ptCount val="1"/>
                <c:pt idx="0">
                  <c:v>Height</c:v>
                </c:pt>
              </c:strCache>
            </c:strRef>
          </c:tx>
          <c:spPr>
            <a:ln w="25400" cap="rnd">
              <a:noFill/>
              <a:round/>
            </a:ln>
            <a:effectLst/>
          </c:spPr>
          <c:marker>
            <c:symbol val="circ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linear"/>
            <c:dispRSqr val="0"/>
            <c:dispEq val="0"/>
          </c:trendline>
          <c:trendline>
            <c:spPr>
              <a:ln w="19050" cap="rnd">
                <a:solidFill>
                  <a:schemeClr val="dk1">
                    <a:tint val="88500"/>
                  </a:schemeClr>
                </a:solidFill>
                <a:prstDash val="sysDot"/>
              </a:ln>
              <a:effectLst/>
            </c:spPr>
            <c:trendlineType val="linear"/>
            <c:dispRSqr val="1"/>
            <c:dispEq val="1"/>
            <c:trendlineLbl>
              <c:layout>
                <c:manualLayout>
                  <c:x val="-8.6027777777777772E-2"/>
                  <c:y val="-0.65899679206765815"/>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R² = 0.3761</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Graphs!$I$17:$I$31</c:f>
              <c:numCache>
                <c:formatCode>0.00</c:formatCode>
                <c:ptCount val="15"/>
                <c:pt idx="0">
                  <c:v>256</c:v>
                </c:pt>
                <c:pt idx="1">
                  <c:v>244</c:v>
                </c:pt>
                <c:pt idx="2">
                  <c:v>216</c:v>
                </c:pt>
                <c:pt idx="3">
                  <c:v>356</c:v>
                </c:pt>
                <c:pt idx="4">
                  <c:v>294</c:v>
                </c:pt>
                <c:pt idx="5">
                  <c:v>222</c:v>
                </c:pt>
                <c:pt idx="6">
                  <c:v>382</c:v>
                </c:pt>
                <c:pt idx="7">
                  <c:v>316</c:v>
                </c:pt>
                <c:pt idx="8">
                  <c:v>340</c:v>
                </c:pt>
                <c:pt idx="9">
                  <c:v>360</c:v>
                </c:pt>
                <c:pt idx="10">
                  <c:v>446</c:v>
                </c:pt>
                <c:pt idx="11">
                  <c:v>466</c:v>
                </c:pt>
                <c:pt idx="12">
                  <c:v>476</c:v>
                </c:pt>
                <c:pt idx="13">
                  <c:v>334</c:v>
                </c:pt>
                <c:pt idx="14">
                  <c:v>374</c:v>
                </c:pt>
              </c:numCache>
            </c:numRef>
          </c:xVal>
          <c:yVal>
            <c:numRef>
              <c:f>Graphs!$M$17:$M$31</c:f>
              <c:numCache>
                <c:formatCode>0.0</c:formatCode>
                <c:ptCount val="15"/>
                <c:pt idx="0">
                  <c:v>256.2</c:v>
                </c:pt>
                <c:pt idx="1">
                  <c:v>243</c:v>
                </c:pt>
                <c:pt idx="2">
                  <c:v>216</c:v>
                </c:pt>
                <c:pt idx="3">
                  <c:v>10</c:v>
                </c:pt>
                <c:pt idx="4">
                  <c:v>34</c:v>
                </c:pt>
                <c:pt idx="5">
                  <c:v>29.6</c:v>
                </c:pt>
                <c:pt idx="6">
                  <c:v>129.19999999999999</c:v>
                </c:pt>
                <c:pt idx="7">
                  <c:v>122.8</c:v>
                </c:pt>
                <c:pt idx="8">
                  <c:v>120.6</c:v>
                </c:pt>
                <c:pt idx="9">
                  <c:v>0</c:v>
                </c:pt>
                <c:pt idx="10">
                  <c:v>0</c:v>
                </c:pt>
                <c:pt idx="11">
                  <c:v>0</c:v>
                </c:pt>
                <c:pt idx="12">
                  <c:v>36.200000000000003</c:v>
                </c:pt>
                <c:pt idx="13">
                  <c:v>1.4</c:v>
                </c:pt>
                <c:pt idx="14">
                  <c:v>13.4</c:v>
                </c:pt>
              </c:numCache>
            </c:numRef>
          </c:yVal>
          <c:smooth val="0"/>
          <c:extLst xmlns:c16r2="http://schemas.microsoft.com/office/drawing/2015/06/chart">
            <c:ext xmlns:c16="http://schemas.microsoft.com/office/drawing/2014/chart" uri="{C3380CC4-5D6E-409C-BE32-E72D297353CC}">
              <c16:uniqueId val="{00000000-3D5B-413B-8D69-C35B5240DA41}"/>
            </c:ext>
          </c:extLst>
        </c:ser>
        <c:dLbls>
          <c:showLegendKey val="0"/>
          <c:showVal val="0"/>
          <c:showCatName val="0"/>
          <c:showSerName val="0"/>
          <c:showPercent val="0"/>
          <c:showBubbleSize val="0"/>
        </c:dLbls>
        <c:axId val="581184968"/>
        <c:axId val="581185360"/>
      </c:scatterChart>
      <c:valAx>
        <c:axId val="581184968"/>
        <c:scaling>
          <c:orientation val="minMax"/>
          <c:max val="400"/>
          <c:min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Cover Crop Biomass (g/m2)</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1185360"/>
        <c:crosses val="autoZero"/>
        <c:crossBetween val="midCat"/>
        <c:minorUnit val="5"/>
      </c:valAx>
      <c:valAx>
        <c:axId val="581185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Weedy Bomass (g/m2)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11849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dk1">
                <a:tint val="88500"/>
              </a:schemeClr>
            </a:solidFill>
            <a:ln>
              <a:noFill/>
            </a:ln>
            <a:effectLst/>
          </c:spPr>
          <c:invertIfNegative val="0"/>
          <c:dLbls>
            <c:dLbl>
              <c:idx val="0"/>
              <c:tx>
                <c:rich>
                  <a:bodyPr/>
                  <a:lstStyle/>
                  <a:p>
                    <a:r>
                      <a:rPr lang="en-US"/>
                      <a:t>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9ED-4392-83DC-B6545C8B9293}"/>
                </c:ext>
                <c:ext xmlns:c15="http://schemas.microsoft.com/office/drawing/2012/chart" uri="{CE6537A1-D6FC-4f65-9D91-7224C49458BB}"/>
              </c:extLst>
            </c:dLbl>
            <c:dLbl>
              <c:idx val="1"/>
              <c:tx>
                <c:rich>
                  <a:bodyPr/>
                  <a:lstStyle/>
                  <a:p>
                    <a:r>
                      <a:rPr lang="en-US"/>
                      <a:t>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9ED-4392-83DC-B6545C8B9293}"/>
                </c:ext>
                <c:ext xmlns:c15="http://schemas.microsoft.com/office/drawing/2012/chart" uri="{CE6537A1-D6FC-4f65-9D91-7224C49458BB}"/>
              </c:extLst>
            </c:dLbl>
            <c:dLbl>
              <c:idx val="2"/>
              <c:tx>
                <c:rich>
                  <a:bodyPr/>
                  <a:lstStyle/>
                  <a:p>
                    <a:r>
                      <a:rPr lang="en-US"/>
                      <a:t>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9ED-4392-83DC-B6545C8B9293}"/>
                </c:ext>
                <c:ext xmlns:c15="http://schemas.microsoft.com/office/drawing/2012/chart" uri="{CE6537A1-D6FC-4f65-9D91-7224C49458BB}"/>
              </c:extLst>
            </c:dLbl>
            <c:dLbl>
              <c:idx val="3"/>
              <c:tx>
                <c:rich>
                  <a:bodyPr/>
                  <a:lstStyle/>
                  <a:p>
                    <a:r>
                      <a:rPr lang="en-US"/>
                      <a:t>CD</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9ED-4392-83DC-B6545C8B9293}"/>
                </c:ext>
                <c:ext xmlns:c15="http://schemas.microsoft.com/office/drawing/2012/chart" uri="{CE6537A1-D6FC-4f65-9D91-7224C49458BB}"/>
              </c:extLst>
            </c:dLbl>
            <c:dLbl>
              <c:idx val="4"/>
              <c:tx>
                <c:rich>
                  <a:bodyPr/>
                  <a:lstStyle/>
                  <a:p>
                    <a:r>
                      <a:rPr lang="en-US"/>
                      <a:t>D</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9ED-4392-83DC-B6545C8B929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graphs!$B$48:$B$52</c:f>
              <c:strCache>
                <c:ptCount val="5"/>
                <c:pt idx="0">
                  <c:v>Control</c:v>
                </c:pt>
                <c:pt idx="1">
                  <c:v>Winter Peas</c:v>
                </c:pt>
                <c:pt idx="2">
                  <c:v>Bell Beans</c:v>
                </c:pt>
                <c:pt idx="3">
                  <c:v>Mustard</c:v>
                </c:pt>
                <c:pt idx="4">
                  <c:v>Radish</c:v>
                </c:pt>
              </c:strCache>
            </c:strRef>
          </c:cat>
          <c:val>
            <c:numRef>
              <c:f>graphs!$C$48:$C$52</c:f>
              <c:numCache>
                <c:formatCode>General</c:formatCode>
                <c:ptCount val="5"/>
                <c:pt idx="0">
                  <c:v>1.748</c:v>
                </c:pt>
                <c:pt idx="1">
                  <c:v>3.7890000000000001</c:v>
                </c:pt>
                <c:pt idx="2">
                  <c:v>3.1379999999999999</c:v>
                </c:pt>
                <c:pt idx="3">
                  <c:v>1.5369999999999999</c:v>
                </c:pt>
                <c:pt idx="4">
                  <c:v>1.373</c:v>
                </c:pt>
              </c:numCache>
            </c:numRef>
          </c:val>
          <c:extLst xmlns:c16r2="http://schemas.microsoft.com/office/drawing/2015/06/chart">
            <c:ext xmlns:c16="http://schemas.microsoft.com/office/drawing/2014/chart" uri="{C3380CC4-5D6E-409C-BE32-E72D297353CC}">
              <c16:uniqueId val="{00000005-C9ED-4392-83DC-B6545C8B9293}"/>
            </c:ext>
          </c:extLst>
        </c:ser>
        <c:dLbls>
          <c:showLegendKey val="0"/>
          <c:showVal val="0"/>
          <c:showCatName val="0"/>
          <c:showSerName val="0"/>
          <c:showPercent val="0"/>
          <c:showBubbleSize val="0"/>
        </c:dLbls>
        <c:gapWidth val="150"/>
        <c:axId val="706990584"/>
        <c:axId val="706991368"/>
      </c:barChart>
      <c:catAx>
        <c:axId val="706990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Cover Crop Treatment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06991368"/>
        <c:crosses val="autoZero"/>
        <c:auto val="1"/>
        <c:lblAlgn val="ctr"/>
        <c:lblOffset val="100"/>
        <c:noMultiLvlLbl val="0"/>
      </c:catAx>
      <c:valAx>
        <c:axId val="706991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Cover Crop Biomass N Concentration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06990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graphs!$C$63</c:f>
              <c:strCache>
                <c:ptCount val="1"/>
                <c:pt idx="0">
                  <c:v>2014</c:v>
                </c:pt>
              </c:strCache>
            </c:strRef>
          </c:tx>
          <c:spPr>
            <a:solidFill>
              <a:schemeClr val="bg1">
                <a:lumMod val="75000"/>
              </a:schemeClr>
            </a:solidFill>
            <a:ln>
              <a:noFill/>
            </a:ln>
            <a:effectLst/>
          </c:spPr>
          <c:invertIfNegative val="0"/>
          <c:dLbls>
            <c:dLbl>
              <c:idx val="0"/>
              <c:tx>
                <c:rich>
                  <a:bodyPr/>
                  <a:lstStyle/>
                  <a:p>
                    <a:r>
                      <a:rPr lang="en-US"/>
                      <a:t>CD</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C3B-4980-9274-88877F09C386}"/>
                </c:ext>
                <c:ext xmlns:c15="http://schemas.microsoft.com/office/drawing/2012/chart" uri="{CE6537A1-D6FC-4f65-9D91-7224C49458BB}"/>
              </c:extLst>
            </c:dLbl>
            <c:dLbl>
              <c:idx val="1"/>
              <c:tx>
                <c:rich>
                  <a:bodyPr/>
                  <a:lstStyle/>
                  <a:p>
                    <a:r>
                      <a:rPr lang="en-US"/>
                      <a:t>CD</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C3B-4980-9274-88877F09C386}"/>
                </c:ext>
                <c:ext xmlns:c15="http://schemas.microsoft.com/office/drawing/2012/chart" uri="{CE6537A1-D6FC-4f65-9D91-7224C49458BB}"/>
              </c:extLst>
            </c:dLbl>
            <c:dLbl>
              <c:idx val="2"/>
              <c:tx>
                <c:rich>
                  <a:bodyPr/>
                  <a:lstStyle/>
                  <a:p>
                    <a:r>
                      <a:rPr lang="en-US"/>
                      <a:t>CD</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C3B-4980-9274-88877F09C386}"/>
                </c:ext>
                <c:ext xmlns:c15="http://schemas.microsoft.com/office/drawing/2012/chart" uri="{CE6537A1-D6FC-4f65-9D91-7224C49458BB}"/>
              </c:extLst>
            </c:dLbl>
            <c:dLbl>
              <c:idx val="3"/>
              <c:tx>
                <c:rich>
                  <a:bodyPr/>
                  <a:lstStyle/>
                  <a:p>
                    <a:r>
                      <a:rPr lang="en-US"/>
                      <a:t>DE</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C3B-4980-9274-88877F09C386}"/>
                </c:ext>
                <c:ext xmlns:c15="http://schemas.microsoft.com/office/drawing/2012/chart" uri="{CE6537A1-D6FC-4f65-9D91-7224C49458BB}"/>
              </c:extLst>
            </c:dLbl>
            <c:dLbl>
              <c:idx val="4"/>
              <c:tx>
                <c:rich>
                  <a:bodyPr/>
                  <a:lstStyle/>
                  <a:p>
                    <a:r>
                      <a:rPr lang="en-US"/>
                      <a:t>E</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C3B-4980-9274-88877F09C38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graphs!$B$64:$B$68</c:f>
              <c:strCache>
                <c:ptCount val="5"/>
                <c:pt idx="0">
                  <c:v>Control</c:v>
                </c:pt>
                <c:pt idx="1">
                  <c:v>Winter Peas</c:v>
                </c:pt>
                <c:pt idx="2">
                  <c:v>Bell Beans</c:v>
                </c:pt>
                <c:pt idx="3">
                  <c:v>Mustard</c:v>
                </c:pt>
                <c:pt idx="4">
                  <c:v>Radish</c:v>
                </c:pt>
              </c:strCache>
            </c:strRef>
          </c:cat>
          <c:val>
            <c:numRef>
              <c:f>graphs!$C$64:$C$68</c:f>
              <c:numCache>
                <c:formatCode>General</c:formatCode>
                <c:ptCount val="5"/>
                <c:pt idx="0">
                  <c:v>38.56</c:v>
                </c:pt>
                <c:pt idx="1">
                  <c:v>38.673299999999998</c:v>
                </c:pt>
                <c:pt idx="2">
                  <c:v>38.826700000000002</c:v>
                </c:pt>
                <c:pt idx="3">
                  <c:v>36.93</c:v>
                </c:pt>
                <c:pt idx="4">
                  <c:v>35.523299999999999</c:v>
                </c:pt>
              </c:numCache>
            </c:numRef>
          </c:val>
          <c:extLst xmlns:c16r2="http://schemas.microsoft.com/office/drawing/2015/06/chart">
            <c:ext xmlns:c16="http://schemas.microsoft.com/office/drawing/2014/chart" uri="{C3380CC4-5D6E-409C-BE32-E72D297353CC}">
              <c16:uniqueId val="{00000005-EC3B-4980-9274-88877F09C386}"/>
            </c:ext>
          </c:extLst>
        </c:ser>
        <c:ser>
          <c:idx val="1"/>
          <c:order val="1"/>
          <c:tx>
            <c:strRef>
              <c:f>graphs!$E$63</c:f>
              <c:strCache>
                <c:ptCount val="1"/>
                <c:pt idx="0">
                  <c:v>2015</c:v>
                </c:pt>
              </c:strCache>
            </c:strRef>
          </c:tx>
          <c:spPr>
            <a:solidFill>
              <a:schemeClr val="tx1">
                <a:lumMod val="75000"/>
                <a:lumOff val="25000"/>
              </a:schemeClr>
            </a:solidFill>
            <a:ln>
              <a:noFill/>
            </a:ln>
            <a:effectLst/>
          </c:spPr>
          <c:invertIfNegative val="0"/>
          <c:dLbls>
            <c:dLbl>
              <c:idx val="0"/>
              <c:tx>
                <c:rich>
                  <a:bodyPr/>
                  <a:lstStyle/>
                  <a:p>
                    <a:r>
                      <a:rPr lang="en-US"/>
                      <a:t>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C3B-4980-9274-88877F09C386}"/>
                </c:ext>
                <c:ext xmlns:c15="http://schemas.microsoft.com/office/drawing/2012/chart" uri="{CE6537A1-D6FC-4f65-9D91-7224C49458BB}"/>
              </c:extLst>
            </c:dLbl>
            <c:dLbl>
              <c:idx val="1"/>
              <c:tx>
                <c:rich>
                  <a:bodyPr/>
                  <a:lstStyle/>
                  <a:p>
                    <a:r>
                      <a:rPr lang="en-US"/>
                      <a:t>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C3B-4980-9274-88877F09C386}"/>
                </c:ext>
                <c:ext xmlns:c15="http://schemas.microsoft.com/office/drawing/2012/chart" uri="{CE6537A1-D6FC-4f65-9D91-7224C49458BB}"/>
              </c:extLst>
            </c:dLbl>
            <c:dLbl>
              <c:idx val="2"/>
              <c:tx>
                <c:rich>
                  <a:bodyPr/>
                  <a:lstStyle/>
                  <a:p>
                    <a:r>
                      <a:rPr lang="en-US"/>
                      <a:t>AB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C3B-4980-9274-88877F09C386}"/>
                </c:ext>
                <c:ext xmlns:c15="http://schemas.microsoft.com/office/drawing/2012/chart" uri="{CE6537A1-D6FC-4f65-9D91-7224C49458BB}"/>
              </c:extLst>
            </c:dLbl>
            <c:dLbl>
              <c:idx val="3"/>
              <c:tx>
                <c:rich>
                  <a:bodyPr/>
                  <a:lstStyle/>
                  <a:p>
                    <a:r>
                      <a:rPr lang="en-US"/>
                      <a:t>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C3B-4980-9274-88877F09C386}"/>
                </c:ext>
                <c:ext xmlns:c15="http://schemas.microsoft.com/office/drawing/2012/chart" uri="{CE6537A1-D6FC-4f65-9D91-7224C49458BB}"/>
              </c:extLst>
            </c:dLbl>
            <c:dLbl>
              <c:idx val="4"/>
              <c:tx>
                <c:rich>
                  <a:bodyPr/>
                  <a:lstStyle/>
                  <a:p>
                    <a:r>
                      <a:rPr lang="en-US"/>
                      <a:t>AB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C3B-4980-9274-88877F09C38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graphs!$B$64:$B$68</c:f>
              <c:strCache>
                <c:ptCount val="5"/>
                <c:pt idx="0">
                  <c:v>Control</c:v>
                </c:pt>
                <c:pt idx="1">
                  <c:v>Winter Peas</c:v>
                </c:pt>
                <c:pt idx="2">
                  <c:v>Bell Beans</c:v>
                </c:pt>
                <c:pt idx="3">
                  <c:v>Mustard</c:v>
                </c:pt>
                <c:pt idx="4">
                  <c:v>Radish</c:v>
                </c:pt>
              </c:strCache>
            </c:strRef>
          </c:cat>
          <c:val>
            <c:numRef>
              <c:f>graphs!$E$64:$E$68</c:f>
              <c:numCache>
                <c:formatCode>General</c:formatCode>
                <c:ptCount val="5"/>
                <c:pt idx="0">
                  <c:v>39.063299999999998</c:v>
                </c:pt>
                <c:pt idx="1">
                  <c:v>43.473300000000002</c:v>
                </c:pt>
                <c:pt idx="2">
                  <c:v>43.44</c:v>
                </c:pt>
                <c:pt idx="3">
                  <c:v>41.41</c:v>
                </c:pt>
                <c:pt idx="4">
                  <c:v>41.593299999999999</c:v>
                </c:pt>
              </c:numCache>
            </c:numRef>
          </c:val>
          <c:extLst xmlns:c16r2="http://schemas.microsoft.com/office/drawing/2015/06/chart">
            <c:ext xmlns:c16="http://schemas.microsoft.com/office/drawing/2014/chart" uri="{C3380CC4-5D6E-409C-BE32-E72D297353CC}">
              <c16:uniqueId val="{0000000B-EC3B-4980-9274-88877F09C386}"/>
            </c:ext>
          </c:extLst>
        </c:ser>
        <c:dLbls>
          <c:dLblPos val="outEnd"/>
          <c:showLegendKey val="0"/>
          <c:showVal val="1"/>
          <c:showCatName val="0"/>
          <c:showSerName val="0"/>
          <c:showPercent val="0"/>
          <c:showBubbleSize val="0"/>
        </c:dLbls>
        <c:gapWidth val="150"/>
        <c:axId val="706992152"/>
        <c:axId val="706992544"/>
      </c:barChart>
      <c:catAx>
        <c:axId val="706992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Cover Crop Treatment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06992544"/>
        <c:crosses val="autoZero"/>
        <c:auto val="1"/>
        <c:lblAlgn val="ctr"/>
        <c:lblOffset val="100"/>
        <c:noMultiLvlLbl val="0"/>
      </c:catAx>
      <c:valAx>
        <c:axId val="706992544"/>
        <c:scaling>
          <c:orientation val="minMax"/>
          <c:max val="45"/>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Cover Crop Biomass 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06992152"/>
        <c:crosses val="autoZero"/>
        <c:crossBetween val="between"/>
      </c:valAx>
      <c:spPr>
        <a:noFill/>
        <a:ln>
          <a:noFill/>
        </a:ln>
        <a:effectLst/>
      </c:spPr>
    </c:plotArea>
    <c:legend>
      <c:legendPos val="b"/>
      <c:layout>
        <c:manualLayout>
          <c:xMode val="edge"/>
          <c:yMode val="edge"/>
          <c:x val="0.45624496937882764"/>
          <c:y val="0.8616892680081657"/>
          <c:w val="0.18751006124234471"/>
          <c:h val="6.8182295394893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graphs!$C$80</c:f>
              <c:strCache>
                <c:ptCount val="1"/>
                <c:pt idx="0">
                  <c:v>2014</c:v>
                </c:pt>
              </c:strCache>
            </c:strRef>
          </c:tx>
          <c:spPr>
            <a:solidFill>
              <a:schemeClr val="bg1">
                <a:lumMod val="75000"/>
              </a:schemeClr>
            </a:solidFill>
            <a:ln>
              <a:noFill/>
            </a:ln>
            <a:effectLst/>
          </c:spPr>
          <c:invertIfNegative val="0"/>
          <c:dLbls>
            <c:dLbl>
              <c:idx val="0"/>
              <c:tx>
                <c:rich>
                  <a:bodyPr/>
                  <a:lstStyle/>
                  <a:p>
                    <a:r>
                      <a:rPr lang="en-US"/>
                      <a:t>E</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8DB-43F7-B294-1BA11E66782C}"/>
                </c:ext>
                <c:ext xmlns:c15="http://schemas.microsoft.com/office/drawing/2012/chart" uri="{CE6537A1-D6FC-4f65-9D91-7224C49458BB}"/>
              </c:extLst>
            </c:dLbl>
            <c:dLbl>
              <c:idx val="1"/>
              <c:tx>
                <c:rich>
                  <a:bodyPr/>
                  <a:lstStyle/>
                  <a:p>
                    <a:r>
                      <a:rPr lang="en-US"/>
                      <a:t>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8DB-43F7-B294-1BA11E66782C}"/>
                </c:ext>
                <c:ext xmlns:c15="http://schemas.microsoft.com/office/drawing/2012/chart" uri="{CE6537A1-D6FC-4f65-9D91-7224C49458BB}"/>
              </c:extLst>
            </c:dLbl>
            <c:dLbl>
              <c:idx val="2"/>
              <c:tx>
                <c:rich>
                  <a:bodyPr/>
                  <a:lstStyle/>
                  <a:p>
                    <a:r>
                      <a:rPr lang="en-US"/>
                      <a:t>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8DB-43F7-B294-1BA11E66782C}"/>
                </c:ext>
                <c:ext xmlns:c15="http://schemas.microsoft.com/office/drawing/2012/chart" uri="{CE6537A1-D6FC-4f65-9D91-7224C49458BB}"/>
              </c:extLst>
            </c:dLbl>
            <c:dLbl>
              <c:idx val="3"/>
              <c:tx>
                <c:rich>
                  <a:bodyPr/>
                  <a:lstStyle/>
                  <a:p>
                    <a:r>
                      <a:rPr lang="en-US"/>
                      <a:t>DE</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8DB-43F7-B294-1BA11E66782C}"/>
                </c:ext>
                <c:ext xmlns:c15="http://schemas.microsoft.com/office/drawing/2012/chart" uri="{CE6537A1-D6FC-4f65-9D91-7224C49458BB}"/>
              </c:extLst>
            </c:dLbl>
            <c:dLbl>
              <c:idx val="4"/>
              <c:tx>
                <c:rich>
                  <a:bodyPr/>
                  <a:lstStyle/>
                  <a:p>
                    <a:r>
                      <a:rPr lang="en-US"/>
                      <a:t>DE</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8DB-43F7-B294-1BA11E66782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graphs!$B$81:$B$85</c:f>
              <c:strCache>
                <c:ptCount val="5"/>
                <c:pt idx="0">
                  <c:v>Control</c:v>
                </c:pt>
                <c:pt idx="1">
                  <c:v>Winter Peas</c:v>
                </c:pt>
                <c:pt idx="2">
                  <c:v>Bell Beans</c:v>
                </c:pt>
                <c:pt idx="3">
                  <c:v>Mustard</c:v>
                </c:pt>
                <c:pt idx="4">
                  <c:v>Radish</c:v>
                </c:pt>
              </c:strCache>
            </c:strRef>
          </c:cat>
          <c:val>
            <c:numRef>
              <c:f>graphs!$D$81:$D$85</c:f>
              <c:numCache>
                <c:formatCode>General</c:formatCode>
                <c:ptCount val="5"/>
                <c:pt idx="0">
                  <c:v>0.97340000000000004</c:v>
                </c:pt>
                <c:pt idx="1">
                  <c:v>10.88</c:v>
                </c:pt>
                <c:pt idx="2">
                  <c:v>4.5999999999999996</c:v>
                </c:pt>
                <c:pt idx="3">
                  <c:v>1.5</c:v>
                </c:pt>
                <c:pt idx="4">
                  <c:v>1.5065999999999999</c:v>
                </c:pt>
              </c:numCache>
            </c:numRef>
          </c:val>
          <c:extLst xmlns:c16r2="http://schemas.microsoft.com/office/drawing/2015/06/chart">
            <c:ext xmlns:c16="http://schemas.microsoft.com/office/drawing/2014/chart" uri="{C3380CC4-5D6E-409C-BE32-E72D297353CC}">
              <c16:uniqueId val="{00000005-88DB-43F7-B294-1BA11E66782C}"/>
            </c:ext>
          </c:extLst>
        </c:ser>
        <c:ser>
          <c:idx val="1"/>
          <c:order val="1"/>
          <c:tx>
            <c:strRef>
              <c:f>graphs!$F$80</c:f>
              <c:strCache>
                <c:ptCount val="1"/>
                <c:pt idx="0">
                  <c:v>2015</c:v>
                </c:pt>
              </c:strCache>
            </c:strRef>
          </c:tx>
          <c:spPr>
            <a:solidFill>
              <a:schemeClr val="tx1">
                <a:lumMod val="75000"/>
                <a:lumOff val="25000"/>
              </a:schemeClr>
            </a:solidFill>
            <a:ln>
              <a:noFill/>
            </a:ln>
            <a:effectLst/>
          </c:spPr>
          <c:invertIfNegative val="0"/>
          <c:dLbls>
            <c:dLbl>
              <c:idx val="0"/>
              <c:tx>
                <c:rich>
                  <a:bodyPr/>
                  <a:lstStyle/>
                  <a:p>
                    <a:r>
                      <a:rPr lang="en-US"/>
                      <a:t>CD</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8DB-43F7-B294-1BA11E66782C}"/>
                </c:ext>
                <c:ext xmlns:c15="http://schemas.microsoft.com/office/drawing/2012/chart" uri="{CE6537A1-D6FC-4f65-9D91-7224C49458BB}"/>
              </c:extLst>
            </c:dLbl>
            <c:dLbl>
              <c:idx val="1"/>
              <c:tx>
                <c:rich>
                  <a:bodyPr/>
                  <a:lstStyle/>
                  <a:p>
                    <a:r>
                      <a:rPr lang="en-US"/>
                      <a:t>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8DB-43F7-B294-1BA11E66782C}"/>
                </c:ext>
                <c:ext xmlns:c15="http://schemas.microsoft.com/office/drawing/2012/chart" uri="{CE6537A1-D6FC-4f65-9D91-7224C49458BB}"/>
              </c:extLst>
            </c:dLbl>
            <c:dLbl>
              <c:idx val="2"/>
              <c:tx>
                <c:rich>
                  <a:bodyPr/>
                  <a:lstStyle/>
                  <a:p>
                    <a:r>
                      <a:rPr lang="en-US"/>
                      <a:t>AB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8DB-43F7-B294-1BA11E66782C}"/>
                </c:ext>
                <c:ext xmlns:c15="http://schemas.microsoft.com/office/drawing/2012/chart" uri="{CE6537A1-D6FC-4f65-9D91-7224C49458BB}"/>
              </c:extLst>
            </c:dLbl>
            <c:dLbl>
              <c:idx val="3"/>
              <c:tx>
                <c:rich>
                  <a:bodyPr/>
                  <a:lstStyle/>
                  <a:p>
                    <a:r>
                      <a:rPr lang="en-US"/>
                      <a:t>BC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8DB-43F7-B294-1BA11E66782C}"/>
                </c:ext>
                <c:ext xmlns:c15="http://schemas.microsoft.com/office/drawing/2012/chart" uri="{CE6537A1-D6FC-4f65-9D91-7224C49458BB}"/>
              </c:extLst>
            </c:dLbl>
            <c:dLbl>
              <c:idx val="4"/>
              <c:tx>
                <c:rich>
                  <a:bodyPr/>
                  <a:lstStyle/>
                  <a:p>
                    <a:r>
                      <a:rPr lang="en-US"/>
                      <a:t>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8DB-43F7-B294-1BA11E66782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graphs!$B$81:$B$85</c:f>
              <c:strCache>
                <c:ptCount val="5"/>
                <c:pt idx="0">
                  <c:v>Control</c:v>
                </c:pt>
                <c:pt idx="1">
                  <c:v>Winter Peas</c:v>
                </c:pt>
                <c:pt idx="2">
                  <c:v>Bell Beans</c:v>
                </c:pt>
                <c:pt idx="3">
                  <c:v>Mustard</c:v>
                </c:pt>
                <c:pt idx="4">
                  <c:v>Radish</c:v>
                </c:pt>
              </c:strCache>
            </c:strRef>
          </c:cat>
          <c:val>
            <c:numRef>
              <c:f>graphs!$G$81:$G$85</c:f>
              <c:numCache>
                <c:formatCode>General</c:formatCode>
                <c:ptCount val="5"/>
                <c:pt idx="0">
                  <c:v>4.1093999999999999</c:v>
                </c:pt>
                <c:pt idx="1">
                  <c:v>9.44</c:v>
                </c:pt>
                <c:pt idx="2">
                  <c:v>8.6265999999999998</c:v>
                </c:pt>
                <c:pt idx="3">
                  <c:v>6.2333999999999996</c:v>
                </c:pt>
                <c:pt idx="4">
                  <c:v>5.2333999999999996</c:v>
                </c:pt>
              </c:numCache>
            </c:numRef>
          </c:val>
          <c:extLst xmlns:c16r2="http://schemas.microsoft.com/office/drawing/2015/06/chart">
            <c:ext xmlns:c16="http://schemas.microsoft.com/office/drawing/2014/chart" uri="{C3380CC4-5D6E-409C-BE32-E72D297353CC}">
              <c16:uniqueId val="{0000000B-88DB-43F7-B294-1BA11E66782C}"/>
            </c:ext>
          </c:extLst>
        </c:ser>
        <c:dLbls>
          <c:dLblPos val="outEnd"/>
          <c:showLegendKey val="0"/>
          <c:showVal val="1"/>
          <c:showCatName val="0"/>
          <c:showSerName val="0"/>
          <c:showPercent val="0"/>
          <c:showBubbleSize val="0"/>
        </c:dLbls>
        <c:gapWidth val="150"/>
        <c:axId val="332530208"/>
        <c:axId val="332522760"/>
      </c:barChart>
      <c:catAx>
        <c:axId val="332530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Cover Crop Treatment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2522760"/>
        <c:crosses val="autoZero"/>
        <c:auto val="1"/>
        <c:lblAlgn val="ctr"/>
        <c:lblOffset val="100"/>
        <c:noMultiLvlLbl val="0"/>
      </c:catAx>
      <c:valAx>
        <c:axId val="332522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Total Biomass N (g/m2)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253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2"/>
          <c:order val="0"/>
          <c:tx>
            <c:strRef>
              <c:f>Graphs!$E$2:$E$31</c:f>
              <c:strCache>
                <c:ptCount val="30"/>
                <c:pt idx="0">
                  <c:v>2.18</c:v>
                </c:pt>
                <c:pt idx="1">
                  <c:v>1.75</c:v>
                </c:pt>
                <c:pt idx="2">
                  <c:v>1.52</c:v>
                </c:pt>
                <c:pt idx="3">
                  <c:v>3.80</c:v>
                </c:pt>
                <c:pt idx="4">
                  <c:v>4.05</c:v>
                </c:pt>
                <c:pt idx="5">
                  <c:v>3.59</c:v>
                </c:pt>
                <c:pt idx="6">
                  <c:v>3.62</c:v>
                </c:pt>
                <c:pt idx="7">
                  <c:v>2.89</c:v>
                </c:pt>
                <c:pt idx="8">
                  <c:v>3.33</c:v>
                </c:pt>
                <c:pt idx="9">
                  <c:v>1.51</c:v>
                </c:pt>
                <c:pt idx="10">
                  <c:v>1.65</c:v>
                </c:pt>
                <c:pt idx="11">
                  <c:v>1.63</c:v>
                </c:pt>
                <c:pt idx="12">
                  <c:v>1.48</c:v>
                </c:pt>
                <c:pt idx="13">
                  <c:v>1.44</c:v>
                </c:pt>
                <c:pt idx="14">
                  <c:v>1.27</c:v>
                </c:pt>
                <c:pt idx="15">
                  <c:v>2.09</c:v>
                </c:pt>
                <c:pt idx="16">
                  <c:v>1.55</c:v>
                </c:pt>
                <c:pt idx="17">
                  <c:v>1.40</c:v>
                </c:pt>
                <c:pt idx="18">
                  <c:v>3.74</c:v>
                </c:pt>
                <c:pt idx="19">
                  <c:v>3.68</c:v>
                </c:pt>
                <c:pt idx="20">
                  <c:v>3.84</c:v>
                </c:pt>
                <c:pt idx="21">
                  <c:v>3.02</c:v>
                </c:pt>
                <c:pt idx="22">
                  <c:v>2.81</c:v>
                </c:pt>
                <c:pt idx="23">
                  <c:v>3.16</c:v>
                </c:pt>
                <c:pt idx="24">
                  <c:v>1.67</c:v>
                </c:pt>
                <c:pt idx="25">
                  <c:v>1.32</c:v>
                </c:pt>
                <c:pt idx="26">
                  <c:v>1.44</c:v>
                </c:pt>
                <c:pt idx="27">
                  <c:v>1.13</c:v>
                </c:pt>
                <c:pt idx="28">
                  <c:v>1.47</c:v>
                </c:pt>
                <c:pt idx="29">
                  <c:v>1.45</c:v>
                </c:pt>
              </c:strCache>
            </c:strRef>
          </c:tx>
          <c:spPr>
            <a:ln w="25400" cap="rnd">
              <a:noFill/>
              <a:round/>
            </a:ln>
            <a:effectLst/>
          </c:spPr>
          <c:marker>
            <c:symbol val="circle"/>
            <c:size val="5"/>
            <c:spPr>
              <a:solidFill>
                <a:schemeClr val="dk1">
                  <a:tint val="75000"/>
                </a:schemeClr>
              </a:solidFill>
              <a:ln w="9525">
                <a:solidFill>
                  <a:schemeClr val="dk1">
                    <a:tint val="75000"/>
                  </a:schemeClr>
                </a:solidFill>
              </a:ln>
              <a:effectLst/>
            </c:spPr>
          </c:marker>
          <c:xVal>
            <c:numRef>
              <c:f>Graphs!$E$2:$E$31</c:f>
              <c:numCache>
                <c:formatCode>0.00</c:formatCode>
                <c:ptCount val="30"/>
                <c:pt idx="0">
                  <c:v>2.1800000000000002</c:v>
                </c:pt>
                <c:pt idx="1">
                  <c:v>1.75</c:v>
                </c:pt>
                <c:pt idx="2">
                  <c:v>1.5199999999999998</c:v>
                </c:pt>
                <c:pt idx="3">
                  <c:v>3.8000000000000003</c:v>
                </c:pt>
                <c:pt idx="4">
                  <c:v>4.05</c:v>
                </c:pt>
                <c:pt idx="5">
                  <c:v>3.59</c:v>
                </c:pt>
                <c:pt idx="6">
                  <c:v>3.6199999999999997</c:v>
                </c:pt>
                <c:pt idx="7">
                  <c:v>2.8933333333333331</c:v>
                </c:pt>
                <c:pt idx="8">
                  <c:v>3.3266666666666667</c:v>
                </c:pt>
                <c:pt idx="9">
                  <c:v>1.5066666666666668</c:v>
                </c:pt>
                <c:pt idx="10">
                  <c:v>1.6533333333333335</c:v>
                </c:pt>
                <c:pt idx="11">
                  <c:v>1.6333333333333331</c:v>
                </c:pt>
                <c:pt idx="12">
                  <c:v>1.4833333333333334</c:v>
                </c:pt>
                <c:pt idx="13">
                  <c:v>1.4366666666666668</c:v>
                </c:pt>
                <c:pt idx="14">
                  <c:v>1.2666666666666666</c:v>
                </c:pt>
                <c:pt idx="15">
                  <c:v>2.09</c:v>
                </c:pt>
                <c:pt idx="16">
                  <c:v>1.55</c:v>
                </c:pt>
                <c:pt idx="17">
                  <c:v>1.4</c:v>
                </c:pt>
                <c:pt idx="18">
                  <c:v>3.74</c:v>
                </c:pt>
                <c:pt idx="19">
                  <c:v>3.68</c:v>
                </c:pt>
                <c:pt idx="20">
                  <c:v>3.84</c:v>
                </c:pt>
                <c:pt idx="21">
                  <c:v>3.02</c:v>
                </c:pt>
                <c:pt idx="22">
                  <c:v>2.81</c:v>
                </c:pt>
                <c:pt idx="23">
                  <c:v>3.16</c:v>
                </c:pt>
                <c:pt idx="24">
                  <c:v>1.67</c:v>
                </c:pt>
                <c:pt idx="25">
                  <c:v>1.32</c:v>
                </c:pt>
                <c:pt idx="26">
                  <c:v>1.44</c:v>
                </c:pt>
                <c:pt idx="27">
                  <c:v>1.1299999999999999</c:v>
                </c:pt>
                <c:pt idx="28">
                  <c:v>1.47</c:v>
                </c:pt>
                <c:pt idx="29">
                  <c:v>1.45</c:v>
                </c:pt>
              </c:numCache>
            </c:numRef>
          </c:xVal>
          <c:yVal>
            <c:numRef>
              <c:f>Graphs!$H$2:$H$31</c:f>
              <c:numCache>
                <c:formatCode>0.00</c:formatCode>
                <c:ptCount val="30"/>
                <c:pt idx="0">
                  <c:v>17.666666666666668</c:v>
                </c:pt>
                <c:pt idx="1">
                  <c:v>30</c:v>
                </c:pt>
                <c:pt idx="2">
                  <c:v>35.666666666666664</c:v>
                </c:pt>
                <c:pt idx="3">
                  <c:v>34.5</c:v>
                </c:pt>
                <c:pt idx="4">
                  <c:v>44.166666666666664</c:v>
                </c:pt>
                <c:pt idx="5">
                  <c:v>47.333333333333336</c:v>
                </c:pt>
                <c:pt idx="6">
                  <c:v>42</c:v>
                </c:pt>
                <c:pt idx="7">
                  <c:v>53</c:v>
                </c:pt>
                <c:pt idx="8">
                  <c:v>37</c:v>
                </c:pt>
                <c:pt idx="9">
                  <c:v>56.166666666666664</c:v>
                </c:pt>
                <c:pt idx="10">
                  <c:v>53.333333333333336</c:v>
                </c:pt>
                <c:pt idx="11">
                  <c:v>45.166666666666664</c:v>
                </c:pt>
                <c:pt idx="12">
                  <c:v>85</c:v>
                </c:pt>
                <c:pt idx="13">
                  <c:v>76.333333333333329</c:v>
                </c:pt>
                <c:pt idx="14">
                  <c:v>61</c:v>
                </c:pt>
                <c:pt idx="15">
                  <c:v>31</c:v>
                </c:pt>
                <c:pt idx="16">
                  <c:v>37</c:v>
                </c:pt>
                <c:pt idx="17">
                  <c:v>39</c:v>
                </c:pt>
                <c:pt idx="18">
                  <c:v>45</c:v>
                </c:pt>
                <c:pt idx="19">
                  <c:v>36</c:v>
                </c:pt>
                <c:pt idx="20">
                  <c:v>36</c:v>
                </c:pt>
                <c:pt idx="21">
                  <c:v>80</c:v>
                </c:pt>
                <c:pt idx="22">
                  <c:v>72</c:v>
                </c:pt>
                <c:pt idx="23">
                  <c:v>73</c:v>
                </c:pt>
                <c:pt idx="24">
                  <c:v>81</c:v>
                </c:pt>
                <c:pt idx="25">
                  <c:v>79</c:v>
                </c:pt>
                <c:pt idx="26">
                  <c:v>83</c:v>
                </c:pt>
                <c:pt idx="27">
                  <c:v>105</c:v>
                </c:pt>
                <c:pt idx="28">
                  <c:v>111</c:v>
                </c:pt>
                <c:pt idx="29">
                  <c:v>99</c:v>
                </c:pt>
              </c:numCache>
            </c:numRef>
          </c:yVal>
          <c:smooth val="0"/>
          <c:extLst xmlns:c16r2="http://schemas.microsoft.com/office/drawing/2015/06/chart">
            <c:ext xmlns:c16="http://schemas.microsoft.com/office/drawing/2014/chart" uri="{C3380CC4-5D6E-409C-BE32-E72D297353CC}">
              <c16:uniqueId val="{00000000-48B4-4F01-A24F-771DA64176D5}"/>
            </c:ext>
          </c:extLst>
        </c:ser>
        <c:ser>
          <c:idx val="3"/>
          <c:order val="1"/>
          <c:tx>
            <c:strRef>
              <c:f>Graphs!$E$2:$E$31</c:f>
              <c:strCache>
                <c:ptCount val="30"/>
                <c:pt idx="0">
                  <c:v>2.18</c:v>
                </c:pt>
                <c:pt idx="1">
                  <c:v>1.75</c:v>
                </c:pt>
                <c:pt idx="2">
                  <c:v>1.52</c:v>
                </c:pt>
                <c:pt idx="3">
                  <c:v>3.80</c:v>
                </c:pt>
                <c:pt idx="4">
                  <c:v>4.05</c:v>
                </c:pt>
                <c:pt idx="5">
                  <c:v>3.59</c:v>
                </c:pt>
                <c:pt idx="6">
                  <c:v>3.62</c:v>
                </c:pt>
                <c:pt idx="7">
                  <c:v>2.89</c:v>
                </c:pt>
                <c:pt idx="8">
                  <c:v>3.33</c:v>
                </c:pt>
                <c:pt idx="9">
                  <c:v>1.51</c:v>
                </c:pt>
                <c:pt idx="10">
                  <c:v>1.65</c:v>
                </c:pt>
                <c:pt idx="11">
                  <c:v>1.63</c:v>
                </c:pt>
                <c:pt idx="12">
                  <c:v>1.48</c:v>
                </c:pt>
                <c:pt idx="13">
                  <c:v>1.44</c:v>
                </c:pt>
                <c:pt idx="14">
                  <c:v>1.27</c:v>
                </c:pt>
                <c:pt idx="15">
                  <c:v>2.09</c:v>
                </c:pt>
                <c:pt idx="16">
                  <c:v>1.55</c:v>
                </c:pt>
                <c:pt idx="17">
                  <c:v>1.40</c:v>
                </c:pt>
                <c:pt idx="18">
                  <c:v>3.74</c:v>
                </c:pt>
                <c:pt idx="19">
                  <c:v>3.68</c:v>
                </c:pt>
                <c:pt idx="20">
                  <c:v>3.84</c:v>
                </c:pt>
                <c:pt idx="21">
                  <c:v>3.02</c:v>
                </c:pt>
                <c:pt idx="22">
                  <c:v>2.81</c:v>
                </c:pt>
                <c:pt idx="23">
                  <c:v>3.16</c:v>
                </c:pt>
                <c:pt idx="24">
                  <c:v>1.67</c:v>
                </c:pt>
                <c:pt idx="25">
                  <c:v>1.32</c:v>
                </c:pt>
                <c:pt idx="26">
                  <c:v>1.44</c:v>
                </c:pt>
                <c:pt idx="27">
                  <c:v>1.13</c:v>
                </c:pt>
                <c:pt idx="28">
                  <c:v>1.47</c:v>
                </c:pt>
                <c:pt idx="29">
                  <c:v>1.45</c:v>
                </c:pt>
              </c:strCache>
            </c:strRef>
          </c:tx>
          <c:spPr>
            <a:ln w="25400" cap="rnd">
              <a:noFill/>
              <a:round/>
            </a:ln>
            <a:effectLst/>
          </c:spPr>
          <c:marker>
            <c:symbol val="circle"/>
            <c:size val="5"/>
            <c:spPr>
              <a:solidFill>
                <a:schemeClr val="dk1">
                  <a:tint val="98500"/>
                </a:schemeClr>
              </a:solidFill>
              <a:ln w="9525">
                <a:solidFill>
                  <a:schemeClr val="dk1">
                    <a:tint val="98500"/>
                  </a:schemeClr>
                </a:solidFill>
              </a:ln>
              <a:effectLst/>
            </c:spPr>
          </c:marker>
          <c:xVal>
            <c:numRef>
              <c:f>Graphs!$E$2:$E$31</c:f>
              <c:numCache>
                <c:formatCode>0.00</c:formatCode>
                <c:ptCount val="30"/>
                <c:pt idx="0">
                  <c:v>2.1800000000000002</c:v>
                </c:pt>
                <c:pt idx="1">
                  <c:v>1.75</c:v>
                </c:pt>
                <c:pt idx="2">
                  <c:v>1.5199999999999998</c:v>
                </c:pt>
                <c:pt idx="3">
                  <c:v>3.8000000000000003</c:v>
                </c:pt>
                <c:pt idx="4">
                  <c:v>4.05</c:v>
                </c:pt>
                <c:pt idx="5">
                  <c:v>3.59</c:v>
                </c:pt>
                <c:pt idx="6">
                  <c:v>3.6199999999999997</c:v>
                </c:pt>
                <c:pt idx="7">
                  <c:v>2.8933333333333331</c:v>
                </c:pt>
                <c:pt idx="8">
                  <c:v>3.3266666666666667</c:v>
                </c:pt>
                <c:pt idx="9">
                  <c:v>1.5066666666666668</c:v>
                </c:pt>
                <c:pt idx="10">
                  <c:v>1.6533333333333335</c:v>
                </c:pt>
                <c:pt idx="11">
                  <c:v>1.6333333333333331</c:v>
                </c:pt>
                <c:pt idx="12">
                  <c:v>1.4833333333333334</c:v>
                </c:pt>
                <c:pt idx="13">
                  <c:v>1.4366666666666668</c:v>
                </c:pt>
                <c:pt idx="14">
                  <c:v>1.2666666666666666</c:v>
                </c:pt>
                <c:pt idx="15">
                  <c:v>2.09</c:v>
                </c:pt>
                <c:pt idx="16">
                  <c:v>1.55</c:v>
                </c:pt>
                <c:pt idx="17">
                  <c:v>1.4</c:v>
                </c:pt>
                <c:pt idx="18">
                  <c:v>3.74</c:v>
                </c:pt>
                <c:pt idx="19">
                  <c:v>3.68</c:v>
                </c:pt>
                <c:pt idx="20">
                  <c:v>3.84</c:v>
                </c:pt>
                <c:pt idx="21">
                  <c:v>3.02</c:v>
                </c:pt>
                <c:pt idx="22">
                  <c:v>2.81</c:v>
                </c:pt>
                <c:pt idx="23">
                  <c:v>3.16</c:v>
                </c:pt>
                <c:pt idx="24">
                  <c:v>1.67</c:v>
                </c:pt>
                <c:pt idx="25">
                  <c:v>1.32</c:v>
                </c:pt>
                <c:pt idx="26">
                  <c:v>1.44</c:v>
                </c:pt>
                <c:pt idx="27">
                  <c:v>1.1299999999999999</c:v>
                </c:pt>
                <c:pt idx="28">
                  <c:v>1.47</c:v>
                </c:pt>
                <c:pt idx="29">
                  <c:v>1.45</c:v>
                </c:pt>
              </c:numCache>
            </c:numRef>
          </c:xVal>
          <c:yVal>
            <c:numRef>
              <c:f>Graphs!$H$2:$H$31</c:f>
              <c:numCache>
                <c:formatCode>0.00</c:formatCode>
                <c:ptCount val="30"/>
                <c:pt idx="0">
                  <c:v>17.666666666666668</c:v>
                </c:pt>
                <c:pt idx="1">
                  <c:v>30</c:v>
                </c:pt>
                <c:pt idx="2">
                  <c:v>35.666666666666664</c:v>
                </c:pt>
                <c:pt idx="3">
                  <c:v>34.5</c:v>
                </c:pt>
                <c:pt idx="4">
                  <c:v>44.166666666666664</c:v>
                </c:pt>
                <c:pt idx="5">
                  <c:v>47.333333333333336</c:v>
                </c:pt>
                <c:pt idx="6">
                  <c:v>42</c:v>
                </c:pt>
                <c:pt idx="7">
                  <c:v>53</c:v>
                </c:pt>
                <c:pt idx="8">
                  <c:v>37</c:v>
                </c:pt>
                <c:pt idx="9">
                  <c:v>56.166666666666664</c:v>
                </c:pt>
                <c:pt idx="10">
                  <c:v>53.333333333333336</c:v>
                </c:pt>
                <c:pt idx="11">
                  <c:v>45.166666666666664</c:v>
                </c:pt>
                <c:pt idx="12">
                  <c:v>85</c:v>
                </c:pt>
                <c:pt idx="13">
                  <c:v>76.333333333333329</c:v>
                </c:pt>
                <c:pt idx="14">
                  <c:v>61</c:v>
                </c:pt>
                <c:pt idx="15">
                  <c:v>31</c:v>
                </c:pt>
                <c:pt idx="16">
                  <c:v>37</c:v>
                </c:pt>
                <c:pt idx="17">
                  <c:v>39</c:v>
                </c:pt>
                <c:pt idx="18">
                  <c:v>45</c:v>
                </c:pt>
                <c:pt idx="19">
                  <c:v>36</c:v>
                </c:pt>
                <c:pt idx="20">
                  <c:v>36</c:v>
                </c:pt>
                <c:pt idx="21">
                  <c:v>80</c:v>
                </c:pt>
                <c:pt idx="22">
                  <c:v>72</c:v>
                </c:pt>
                <c:pt idx="23">
                  <c:v>73</c:v>
                </c:pt>
                <c:pt idx="24">
                  <c:v>81</c:v>
                </c:pt>
                <c:pt idx="25">
                  <c:v>79</c:v>
                </c:pt>
                <c:pt idx="26">
                  <c:v>83</c:v>
                </c:pt>
                <c:pt idx="27">
                  <c:v>105</c:v>
                </c:pt>
                <c:pt idx="28">
                  <c:v>111</c:v>
                </c:pt>
                <c:pt idx="29">
                  <c:v>99</c:v>
                </c:pt>
              </c:numCache>
            </c:numRef>
          </c:yVal>
          <c:smooth val="0"/>
          <c:extLst xmlns:c16r2="http://schemas.microsoft.com/office/drawing/2015/06/chart">
            <c:ext xmlns:c16="http://schemas.microsoft.com/office/drawing/2014/chart" uri="{C3380CC4-5D6E-409C-BE32-E72D297353CC}">
              <c16:uniqueId val="{00000001-48B4-4F01-A24F-771DA64176D5}"/>
            </c:ext>
          </c:extLst>
        </c:ser>
        <c:ser>
          <c:idx val="1"/>
          <c:order val="2"/>
          <c:tx>
            <c:strRef>
              <c:f>Graphs!$E$2:$E$31</c:f>
              <c:strCache>
                <c:ptCount val="30"/>
                <c:pt idx="0">
                  <c:v>2.18</c:v>
                </c:pt>
                <c:pt idx="1">
                  <c:v>1.75</c:v>
                </c:pt>
                <c:pt idx="2">
                  <c:v>1.52</c:v>
                </c:pt>
                <c:pt idx="3">
                  <c:v>3.80</c:v>
                </c:pt>
                <c:pt idx="4">
                  <c:v>4.05</c:v>
                </c:pt>
                <c:pt idx="5">
                  <c:v>3.59</c:v>
                </c:pt>
                <c:pt idx="6">
                  <c:v>3.62</c:v>
                </c:pt>
                <c:pt idx="7">
                  <c:v>2.89</c:v>
                </c:pt>
                <c:pt idx="8">
                  <c:v>3.33</c:v>
                </c:pt>
                <c:pt idx="9">
                  <c:v>1.51</c:v>
                </c:pt>
                <c:pt idx="10">
                  <c:v>1.65</c:v>
                </c:pt>
                <c:pt idx="11">
                  <c:v>1.63</c:v>
                </c:pt>
                <c:pt idx="12">
                  <c:v>1.48</c:v>
                </c:pt>
                <c:pt idx="13">
                  <c:v>1.44</c:v>
                </c:pt>
                <c:pt idx="14">
                  <c:v>1.27</c:v>
                </c:pt>
                <c:pt idx="15">
                  <c:v>2.09</c:v>
                </c:pt>
                <c:pt idx="16">
                  <c:v>1.55</c:v>
                </c:pt>
                <c:pt idx="17">
                  <c:v>1.40</c:v>
                </c:pt>
                <c:pt idx="18">
                  <c:v>3.74</c:v>
                </c:pt>
                <c:pt idx="19">
                  <c:v>3.68</c:v>
                </c:pt>
                <c:pt idx="20">
                  <c:v>3.84</c:v>
                </c:pt>
                <c:pt idx="21">
                  <c:v>3.02</c:v>
                </c:pt>
                <c:pt idx="22">
                  <c:v>2.81</c:v>
                </c:pt>
                <c:pt idx="23">
                  <c:v>3.16</c:v>
                </c:pt>
                <c:pt idx="24">
                  <c:v>1.67</c:v>
                </c:pt>
                <c:pt idx="25">
                  <c:v>1.32</c:v>
                </c:pt>
                <c:pt idx="26">
                  <c:v>1.44</c:v>
                </c:pt>
                <c:pt idx="27">
                  <c:v>1.13</c:v>
                </c:pt>
                <c:pt idx="28">
                  <c:v>1.47</c:v>
                </c:pt>
                <c:pt idx="29">
                  <c:v>1.45</c:v>
                </c:pt>
              </c:strCache>
            </c:strRef>
          </c:tx>
          <c:spPr>
            <a:ln w="25400" cap="rnd">
              <a:noFill/>
              <a:round/>
            </a:ln>
            <a:effectLst/>
          </c:spPr>
          <c:marker>
            <c:symbol val="circle"/>
            <c:size val="5"/>
            <c:spPr>
              <a:solidFill>
                <a:schemeClr val="dk1">
                  <a:tint val="55000"/>
                </a:schemeClr>
              </a:solidFill>
              <a:ln w="9525">
                <a:solidFill>
                  <a:schemeClr val="dk1">
                    <a:tint val="55000"/>
                  </a:schemeClr>
                </a:solidFill>
              </a:ln>
              <a:effectLst/>
            </c:spPr>
          </c:marker>
          <c:xVal>
            <c:numRef>
              <c:f>Graphs!$E$2:$E$31</c:f>
              <c:numCache>
                <c:formatCode>0.00</c:formatCode>
                <c:ptCount val="30"/>
                <c:pt idx="0">
                  <c:v>2.1800000000000002</c:v>
                </c:pt>
                <c:pt idx="1">
                  <c:v>1.75</c:v>
                </c:pt>
                <c:pt idx="2">
                  <c:v>1.5199999999999998</c:v>
                </c:pt>
                <c:pt idx="3">
                  <c:v>3.8000000000000003</c:v>
                </c:pt>
                <c:pt idx="4">
                  <c:v>4.05</c:v>
                </c:pt>
                <c:pt idx="5">
                  <c:v>3.59</c:v>
                </c:pt>
                <c:pt idx="6">
                  <c:v>3.6199999999999997</c:v>
                </c:pt>
                <c:pt idx="7">
                  <c:v>2.8933333333333331</c:v>
                </c:pt>
                <c:pt idx="8">
                  <c:v>3.3266666666666667</c:v>
                </c:pt>
                <c:pt idx="9">
                  <c:v>1.5066666666666668</c:v>
                </c:pt>
                <c:pt idx="10">
                  <c:v>1.6533333333333335</c:v>
                </c:pt>
                <c:pt idx="11">
                  <c:v>1.6333333333333331</c:v>
                </c:pt>
                <c:pt idx="12">
                  <c:v>1.4833333333333334</c:v>
                </c:pt>
                <c:pt idx="13">
                  <c:v>1.4366666666666668</c:v>
                </c:pt>
                <c:pt idx="14">
                  <c:v>1.2666666666666666</c:v>
                </c:pt>
                <c:pt idx="15">
                  <c:v>2.09</c:v>
                </c:pt>
                <c:pt idx="16">
                  <c:v>1.55</c:v>
                </c:pt>
                <c:pt idx="17">
                  <c:v>1.4</c:v>
                </c:pt>
                <c:pt idx="18">
                  <c:v>3.74</c:v>
                </c:pt>
                <c:pt idx="19">
                  <c:v>3.68</c:v>
                </c:pt>
                <c:pt idx="20">
                  <c:v>3.84</c:v>
                </c:pt>
                <c:pt idx="21">
                  <c:v>3.02</c:v>
                </c:pt>
                <c:pt idx="22">
                  <c:v>2.81</c:v>
                </c:pt>
                <c:pt idx="23">
                  <c:v>3.16</c:v>
                </c:pt>
                <c:pt idx="24">
                  <c:v>1.67</c:v>
                </c:pt>
                <c:pt idx="25">
                  <c:v>1.32</c:v>
                </c:pt>
                <c:pt idx="26">
                  <c:v>1.44</c:v>
                </c:pt>
                <c:pt idx="27">
                  <c:v>1.1299999999999999</c:v>
                </c:pt>
                <c:pt idx="28">
                  <c:v>1.47</c:v>
                </c:pt>
                <c:pt idx="29">
                  <c:v>1.45</c:v>
                </c:pt>
              </c:numCache>
            </c:numRef>
          </c:xVal>
          <c:yVal>
            <c:numRef>
              <c:f>Graphs!$H$2:$H$31</c:f>
              <c:numCache>
                <c:formatCode>0.00</c:formatCode>
                <c:ptCount val="30"/>
                <c:pt idx="0">
                  <c:v>17.666666666666668</c:v>
                </c:pt>
                <c:pt idx="1">
                  <c:v>30</c:v>
                </c:pt>
                <c:pt idx="2">
                  <c:v>35.666666666666664</c:v>
                </c:pt>
                <c:pt idx="3">
                  <c:v>34.5</c:v>
                </c:pt>
                <c:pt idx="4">
                  <c:v>44.166666666666664</c:v>
                </c:pt>
                <c:pt idx="5">
                  <c:v>47.333333333333336</c:v>
                </c:pt>
                <c:pt idx="6">
                  <c:v>42</c:v>
                </c:pt>
                <c:pt idx="7">
                  <c:v>53</c:v>
                </c:pt>
                <c:pt idx="8">
                  <c:v>37</c:v>
                </c:pt>
                <c:pt idx="9">
                  <c:v>56.166666666666664</c:v>
                </c:pt>
                <c:pt idx="10">
                  <c:v>53.333333333333336</c:v>
                </c:pt>
                <c:pt idx="11">
                  <c:v>45.166666666666664</c:v>
                </c:pt>
                <c:pt idx="12">
                  <c:v>85</c:v>
                </c:pt>
                <c:pt idx="13">
                  <c:v>76.333333333333329</c:v>
                </c:pt>
                <c:pt idx="14">
                  <c:v>61</c:v>
                </c:pt>
                <c:pt idx="15">
                  <c:v>31</c:v>
                </c:pt>
                <c:pt idx="16">
                  <c:v>37</c:v>
                </c:pt>
                <c:pt idx="17">
                  <c:v>39</c:v>
                </c:pt>
                <c:pt idx="18">
                  <c:v>45</c:v>
                </c:pt>
                <c:pt idx="19">
                  <c:v>36</c:v>
                </c:pt>
                <c:pt idx="20">
                  <c:v>36</c:v>
                </c:pt>
                <c:pt idx="21">
                  <c:v>80</c:v>
                </c:pt>
                <c:pt idx="22">
                  <c:v>72</c:v>
                </c:pt>
                <c:pt idx="23">
                  <c:v>73</c:v>
                </c:pt>
                <c:pt idx="24">
                  <c:v>81</c:v>
                </c:pt>
                <c:pt idx="25">
                  <c:v>79</c:v>
                </c:pt>
                <c:pt idx="26">
                  <c:v>83</c:v>
                </c:pt>
                <c:pt idx="27">
                  <c:v>105</c:v>
                </c:pt>
                <c:pt idx="28">
                  <c:v>111</c:v>
                </c:pt>
                <c:pt idx="29">
                  <c:v>99</c:v>
                </c:pt>
              </c:numCache>
            </c:numRef>
          </c:yVal>
          <c:smooth val="0"/>
          <c:extLst xmlns:c16r2="http://schemas.microsoft.com/office/drawing/2015/06/chart">
            <c:ext xmlns:c16="http://schemas.microsoft.com/office/drawing/2014/chart" uri="{C3380CC4-5D6E-409C-BE32-E72D297353CC}">
              <c16:uniqueId val="{00000002-48B4-4F01-A24F-771DA64176D5}"/>
            </c:ext>
          </c:extLst>
        </c:ser>
        <c:ser>
          <c:idx val="0"/>
          <c:order val="3"/>
          <c:tx>
            <c:strRef>
              <c:f>Graphs!$E$2:$E$31</c:f>
              <c:strCache>
                <c:ptCount val="30"/>
                <c:pt idx="0">
                  <c:v>2.18</c:v>
                </c:pt>
                <c:pt idx="1">
                  <c:v>1.75</c:v>
                </c:pt>
                <c:pt idx="2">
                  <c:v>1.52</c:v>
                </c:pt>
                <c:pt idx="3">
                  <c:v>3.80</c:v>
                </c:pt>
                <c:pt idx="4">
                  <c:v>4.05</c:v>
                </c:pt>
                <c:pt idx="5">
                  <c:v>3.59</c:v>
                </c:pt>
                <c:pt idx="6">
                  <c:v>3.62</c:v>
                </c:pt>
                <c:pt idx="7">
                  <c:v>2.89</c:v>
                </c:pt>
                <c:pt idx="8">
                  <c:v>3.33</c:v>
                </c:pt>
                <c:pt idx="9">
                  <c:v>1.51</c:v>
                </c:pt>
                <c:pt idx="10">
                  <c:v>1.65</c:v>
                </c:pt>
                <c:pt idx="11">
                  <c:v>1.63</c:v>
                </c:pt>
                <c:pt idx="12">
                  <c:v>1.48</c:v>
                </c:pt>
                <c:pt idx="13">
                  <c:v>1.44</c:v>
                </c:pt>
                <c:pt idx="14">
                  <c:v>1.27</c:v>
                </c:pt>
                <c:pt idx="15">
                  <c:v>2.09</c:v>
                </c:pt>
                <c:pt idx="16">
                  <c:v>1.55</c:v>
                </c:pt>
                <c:pt idx="17">
                  <c:v>1.40</c:v>
                </c:pt>
                <c:pt idx="18">
                  <c:v>3.74</c:v>
                </c:pt>
                <c:pt idx="19">
                  <c:v>3.68</c:v>
                </c:pt>
                <c:pt idx="20">
                  <c:v>3.84</c:v>
                </c:pt>
                <c:pt idx="21">
                  <c:v>3.02</c:v>
                </c:pt>
                <c:pt idx="22">
                  <c:v>2.81</c:v>
                </c:pt>
                <c:pt idx="23">
                  <c:v>3.16</c:v>
                </c:pt>
                <c:pt idx="24">
                  <c:v>1.67</c:v>
                </c:pt>
                <c:pt idx="25">
                  <c:v>1.32</c:v>
                </c:pt>
                <c:pt idx="26">
                  <c:v>1.44</c:v>
                </c:pt>
                <c:pt idx="27">
                  <c:v>1.13</c:v>
                </c:pt>
                <c:pt idx="28">
                  <c:v>1.47</c:v>
                </c:pt>
                <c:pt idx="29">
                  <c:v>1.45</c:v>
                </c:pt>
              </c:strCache>
            </c:strRef>
          </c:tx>
          <c:spPr>
            <a:ln w="25400" cap="rnd">
              <a:noFill/>
              <a:round/>
            </a:ln>
            <a:effectLst/>
          </c:spPr>
          <c:marker>
            <c:symbol val="circ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linear"/>
            <c:dispRSqr val="0"/>
            <c:dispEq val="0"/>
          </c:trendline>
          <c:trendline>
            <c:spPr>
              <a:ln w="19050" cap="rnd">
                <a:solidFill>
                  <a:schemeClr val="dk1">
                    <a:tint val="88500"/>
                  </a:schemeClr>
                </a:solidFill>
                <a:prstDash val="sysDot"/>
              </a:ln>
              <a:effectLst/>
            </c:spPr>
            <c:trendlineType val="linear"/>
            <c:dispRSqr val="1"/>
            <c:dispEq val="1"/>
            <c:trendlineLbl>
              <c:layout>
                <c:manualLayout>
                  <c:x val="0.12812773403324573"/>
                  <c:y val="-0.4530234762321376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R² = 0.1845</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Graphs!$E$2:$E$31</c:f>
              <c:numCache>
                <c:formatCode>0.00</c:formatCode>
                <c:ptCount val="30"/>
                <c:pt idx="0">
                  <c:v>2.1800000000000002</c:v>
                </c:pt>
                <c:pt idx="1">
                  <c:v>1.75</c:v>
                </c:pt>
                <c:pt idx="2">
                  <c:v>1.5199999999999998</c:v>
                </c:pt>
                <c:pt idx="3">
                  <c:v>3.8000000000000003</c:v>
                </c:pt>
                <c:pt idx="4">
                  <c:v>4.05</c:v>
                </c:pt>
                <c:pt idx="5">
                  <c:v>3.59</c:v>
                </c:pt>
                <c:pt idx="6">
                  <c:v>3.6199999999999997</c:v>
                </c:pt>
                <c:pt idx="7">
                  <c:v>2.8933333333333331</c:v>
                </c:pt>
                <c:pt idx="8">
                  <c:v>3.3266666666666667</c:v>
                </c:pt>
                <c:pt idx="9">
                  <c:v>1.5066666666666668</c:v>
                </c:pt>
                <c:pt idx="10">
                  <c:v>1.6533333333333335</c:v>
                </c:pt>
                <c:pt idx="11">
                  <c:v>1.6333333333333331</c:v>
                </c:pt>
                <c:pt idx="12">
                  <c:v>1.4833333333333334</c:v>
                </c:pt>
                <c:pt idx="13">
                  <c:v>1.4366666666666668</c:v>
                </c:pt>
                <c:pt idx="14">
                  <c:v>1.2666666666666666</c:v>
                </c:pt>
                <c:pt idx="15">
                  <c:v>2.09</c:v>
                </c:pt>
                <c:pt idx="16">
                  <c:v>1.55</c:v>
                </c:pt>
                <c:pt idx="17">
                  <c:v>1.4</c:v>
                </c:pt>
                <c:pt idx="18">
                  <c:v>3.74</c:v>
                </c:pt>
                <c:pt idx="19">
                  <c:v>3.68</c:v>
                </c:pt>
                <c:pt idx="20">
                  <c:v>3.84</c:v>
                </c:pt>
                <c:pt idx="21">
                  <c:v>3.02</c:v>
                </c:pt>
                <c:pt idx="22">
                  <c:v>2.81</c:v>
                </c:pt>
                <c:pt idx="23">
                  <c:v>3.16</c:v>
                </c:pt>
                <c:pt idx="24">
                  <c:v>1.67</c:v>
                </c:pt>
                <c:pt idx="25">
                  <c:v>1.32</c:v>
                </c:pt>
                <c:pt idx="26">
                  <c:v>1.44</c:v>
                </c:pt>
                <c:pt idx="27">
                  <c:v>1.1299999999999999</c:v>
                </c:pt>
                <c:pt idx="28">
                  <c:v>1.47</c:v>
                </c:pt>
                <c:pt idx="29">
                  <c:v>1.45</c:v>
                </c:pt>
              </c:numCache>
            </c:numRef>
          </c:xVal>
          <c:yVal>
            <c:numRef>
              <c:f>Graphs!$H$2:$H$31</c:f>
              <c:numCache>
                <c:formatCode>0.00</c:formatCode>
                <c:ptCount val="30"/>
                <c:pt idx="0">
                  <c:v>17.666666666666668</c:v>
                </c:pt>
                <c:pt idx="1">
                  <c:v>30</c:v>
                </c:pt>
                <c:pt idx="2">
                  <c:v>35.666666666666664</c:v>
                </c:pt>
                <c:pt idx="3">
                  <c:v>34.5</c:v>
                </c:pt>
                <c:pt idx="4">
                  <c:v>44.166666666666664</c:v>
                </c:pt>
                <c:pt idx="5">
                  <c:v>47.333333333333336</c:v>
                </c:pt>
                <c:pt idx="6">
                  <c:v>42</c:v>
                </c:pt>
                <c:pt idx="7">
                  <c:v>53</c:v>
                </c:pt>
                <c:pt idx="8">
                  <c:v>37</c:v>
                </c:pt>
                <c:pt idx="9">
                  <c:v>56.166666666666664</c:v>
                </c:pt>
                <c:pt idx="10">
                  <c:v>53.333333333333336</c:v>
                </c:pt>
                <c:pt idx="11">
                  <c:v>45.166666666666664</c:v>
                </c:pt>
                <c:pt idx="12">
                  <c:v>85</c:v>
                </c:pt>
                <c:pt idx="13">
                  <c:v>76.333333333333329</c:v>
                </c:pt>
                <c:pt idx="14">
                  <c:v>61</c:v>
                </c:pt>
                <c:pt idx="15">
                  <c:v>31</c:v>
                </c:pt>
                <c:pt idx="16">
                  <c:v>37</c:v>
                </c:pt>
                <c:pt idx="17">
                  <c:v>39</c:v>
                </c:pt>
                <c:pt idx="18">
                  <c:v>45</c:v>
                </c:pt>
                <c:pt idx="19">
                  <c:v>36</c:v>
                </c:pt>
                <c:pt idx="20">
                  <c:v>36</c:v>
                </c:pt>
                <c:pt idx="21">
                  <c:v>80</c:v>
                </c:pt>
                <c:pt idx="22">
                  <c:v>72</c:v>
                </c:pt>
                <c:pt idx="23">
                  <c:v>73</c:v>
                </c:pt>
                <c:pt idx="24">
                  <c:v>81</c:v>
                </c:pt>
                <c:pt idx="25">
                  <c:v>79</c:v>
                </c:pt>
                <c:pt idx="26">
                  <c:v>83</c:v>
                </c:pt>
                <c:pt idx="27">
                  <c:v>105</c:v>
                </c:pt>
                <c:pt idx="28">
                  <c:v>111</c:v>
                </c:pt>
                <c:pt idx="29">
                  <c:v>99</c:v>
                </c:pt>
              </c:numCache>
            </c:numRef>
          </c:yVal>
          <c:smooth val="0"/>
          <c:extLst xmlns:c16r2="http://schemas.microsoft.com/office/drawing/2015/06/chart">
            <c:ext xmlns:c16="http://schemas.microsoft.com/office/drawing/2014/chart" uri="{C3380CC4-5D6E-409C-BE32-E72D297353CC}">
              <c16:uniqueId val="{00000003-48B4-4F01-A24F-771DA64176D5}"/>
            </c:ext>
          </c:extLst>
        </c:ser>
        <c:dLbls>
          <c:showLegendKey val="0"/>
          <c:showVal val="0"/>
          <c:showCatName val="0"/>
          <c:showSerName val="0"/>
          <c:showPercent val="0"/>
          <c:showBubbleSize val="0"/>
        </c:dLbls>
        <c:axId val="419358512"/>
        <c:axId val="425928792"/>
      </c:scatterChart>
      <c:valAx>
        <c:axId val="419358512"/>
        <c:scaling>
          <c:orientation val="minMax"/>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 Cover Crop Tissue 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5928792"/>
        <c:crosses val="autoZero"/>
        <c:crossBetween val="midCat"/>
      </c:valAx>
      <c:valAx>
        <c:axId val="425928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Height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93585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9CD80-D9B1-45C0-8FA1-ACD14516A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1984</Words>
  <Characters>11309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The National Center for Appropriate Technology</Company>
  <LinksUpToDate>false</LinksUpToDate>
  <CharactersWithSpaces>13267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Freeman</dc:creator>
  <cp:keywords/>
  <dc:description/>
  <cp:lastModifiedBy>Luke Freeman</cp:lastModifiedBy>
  <cp:revision>1</cp:revision>
  <dcterms:created xsi:type="dcterms:W3CDTF">2016-11-04T03:17:00Z</dcterms:created>
  <dcterms:modified xsi:type="dcterms:W3CDTF">2016-11-04T03:24:00Z</dcterms:modified>
</cp:coreProperties>
</file>