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DC" w:rsidRDefault="00AF35DC">
      <w:bookmarkStart w:id="0" w:name="_GoBack"/>
      <w:bookmarkEnd w:id="0"/>
    </w:p>
    <w:p w:rsidR="0088036D" w:rsidRDefault="00757BAF">
      <w:r>
        <w:rPr>
          <w:noProof/>
        </w:rPr>
        <w:drawing>
          <wp:inline distT="0" distB="0" distL="0" distR="0" wp14:anchorId="756E1A80" wp14:editId="44EE386B">
            <wp:extent cx="9144000" cy="5377815"/>
            <wp:effectExtent l="0" t="0" r="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E85A08">
        <w:rPr>
          <w:rFonts w:ascii="Arial" w:hAnsi="Arial" w:cs="Arial"/>
          <w:sz w:val="24"/>
          <w:szCs w:val="24"/>
        </w:rPr>
        <w:t>Figure 1: This</w:t>
      </w:r>
      <w:r w:rsidR="0088036D" w:rsidRPr="00E85A08">
        <w:rPr>
          <w:rFonts w:ascii="Arial" w:hAnsi="Arial" w:cs="Arial"/>
          <w:sz w:val="24"/>
          <w:szCs w:val="24"/>
        </w:rPr>
        <w:t xml:space="preserve"> figure illustrates the ranges of alpha acid percentages of the hop samples tested </w:t>
      </w:r>
      <w:r w:rsidR="004E3CC8" w:rsidRPr="00E85A08">
        <w:rPr>
          <w:rFonts w:ascii="Arial" w:hAnsi="Arial" w:cs="Arial"/>
          <w:sz w:val="24"/>
          <w:szCs w:val="24"/>
        </w:rPr>
        <w:t>including from the demonstration plot (Snyder Plot) and growers throughout NJ in comparison to the industry standard (YCH Hops).</w:t>
      </w:r>
    </w:p>
    <w:p w:rsidR="0018390A" w:rsidRDefault="0018390A"/>
    <w:p w:rsidR="00480D28" w:rsidRDefault="008C374C">
      <w:r>
        <w:rPr>
          <w:noProof/>
        </w:rPr>
        <w:lastRenderedPageBreak/>
        <w:drawing>
          <wp:inline distT="0" distB="0" distL="0" distR="0" wp14:anchorId="1441CC00" wp14:editId="15A4D34F">
            <wp:extent cx="9144000" cy="5846445"/>
            <wp:effectExtent l="0" t="0" r="0"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E3CC8" w:rsidRDefault="00E85A08">
      <w:pPr>
        <w:rPr>
          <w:rFonts w:ascii="Arial" w:hAnsi="Arial" w:cs="Arial"/>
          <w:sz w:val="24"/>
          <w:szCs w:val="24"/>
        </w:rPr>
      </w:pPr>
      <w:r w:rsidRPr="00E85A08">
        <w:rPr>
          <w:rFonts w:ascii="Arial" w:hAnsi="Arial" w:cs="Arial"/>
          <w:sz w:val="24"/>
          <w:szCs w:val="24"/>
        </w:rPr>
        <w:t>Figure 2</w:t>
      </w:r>
      <w:r w:rsidR="004E3CC8" w:rsidRPr="00E85A08">
        <w:rPr>
          <w:rFonts w:ascii="Arial" w:hAnsi="Arial" w:cs="Arial"/>
          <w:sz w:val="24"/>
          <w:szCs w:val="24"/>
        </w:rPr>
        <w:t>: This figure illustrates the ranges of beta acid percentages of the hop samples including from the demonstration plot (Snyder Plot) and growers throughout NJ in comparison to the industry standard (YCH Hops).</w:t>
      </w:r>
    </w:p>
    <w:p w:rsidR="00E85A08" w:rsidRDefault="00E85A08">
      <w:pPr>
        <w:rPr>
          <w:rFonts w:ascii="Arial" w:hAnsi="Arial" w:cs="Arial"/>
          <w:sz w:val="24"/>
          <w:szCs w:val="24"/>
        </w:rPr>
      </w:pPr>
      <w:r>
        <w:rPr>
          <w:noProof/>
        </w:rPr>
        <w:lastRenderedPageBreak/>
        <w:drawing>
          <wp:inline distT="0" distB="0" distL="0" distR="0" wp14:anchorId="3257A524" wp14:editId="6767226E">
            <wp:extent cx="8201025" cy="50196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85A08" w:rsidRPr="0088036D" w:rsidRDefault="00E85A08" w:rsidP="00E85A08">
      <w:pPr>
        <w:rPr>
          <w:rFonts w:ascii="Arial" w:hAnsi="Arial" w:cs="Arial"/>
          <w:sz w:val="24"/>
          <w:szCs w:val="24"/>
        </w:rPr>
      </w:pPr>
      <w:r>
        <w:rPr>
          <w:rFonts w:ascii="Arial" w:hAnsi="Arial" w:cs="Arial"/>
          <w:sz w:val="24"/>
          <w:szCs w:val="24"/>
        </w:rPr>
        <w:t>Figure 3</w:t>
      </w:r>
      <w:r w:rsidRPr="0088036D">
        <w:rPr>
          <w:rFonts w:ascii="Arial" w:hAnsi="Arial" w:cs="Arial"/>
          <w:sz w:val="24"/>
          <w:szCs w:val="24"/>
        </w:rPr>
        <w:t>: This graph illustrates the average number of pounds of wet hops harvested from 20 plants of each hop variety grown at the Rutgers University Snyder farm demonstration plot in Pittstown, NJ.</w:t>
      </w:r>
    </w:p>
    <w:p w:rsidR="00E85A08" w:rsidRPr="00E85A08" w:rsidRDefault="00E85A08">
      <w:pPr>
        <w:rPr>
          <w:rFonts w:ascii="Arial" w:hAnsi="Arial" w:cs="Arial"/>
          <w:sz w:val="24"/>
          <w:szCs w:val="24"/>
        </w:rPr>
      </w:pPr>
    </w:p>
    <w:sectPr w:rsidR="00E85A08" w:rsidRPr="00E85A08" w:rsidSect="0088036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40"/>
    <w:rsid w:val="0018390A"/>
    <w:rsid w:val="00480D28"/>
    <w:rsid w:val="004E3CC8"/>
    <w:rsid w:val="005E4204"/>
    <w:rsid w:val="006A17EC"/>
    <w:rsid w:val="00757BAF"/>
    <w:rsid w:val="007F6607"/>
    <w:rsid w:val="0088036D"/>
    <w:rsid w:val="00882183"/>
    <w:rsid w:val="008C374C"/>
    <w:rsid w:val="00993640"/>
    <w:rsid w:val="00AF35DC"/>
    <w:rsid w:val="00D463F7"/>
    <w:rsid w:val="00E85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3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63F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3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63F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egan\Desktop\Hops\HopACIDData2016.xlsx" TargetMode="External"/><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egan\Desktop\Hops\HopACIDData2016.xlsx" TargetMode="External"/><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Megan\Desktop\Hops\HopYieldData2016.xlsx" TargetMode="External"/><Relationship Id="rId2" Type="http://schemas.microsoft.com/office/2011/relationships/chartStyle" Target="style3.xml"/><Relationship Id="rId3" Type="http://schemas.microsoft.com/office/2011/relationships/chartColorStyle" Target="colors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938061942322"/>
          <c:y val="0.0428954423592493"/>
          <c:w val="0.815631494609874"/>
          <c:h val="0.88652104813976"/>
        </c:manualLayout>
      </c:layout>
      <c:barChart>
        <c:barDir val="bar"/>
        <c:grouping val="stacked"/>
        <c:varyColors val="0"/>
        <c:ser>
          <c:idx val="0"/>
          <c:order val="0"/>
          <c:tx>
            <c:strRef>
              <c:f>Sheet2!$Q$1</c:f>
              <c:strCache>
                <c:ptCount val="1"/>
                <c:pt idx="0">
                  <c:v>Alpha Acid (low percent)</c:v>
                </c:pt>
              </c:strCache>
            </c:strRef>
          </c:tx>
          <c:spPr>
            <a:noFill/>
            <a:ln>
              <a:noFill/>
            </a:ln>
            <a:effectLst/>
          </c:spPr>
          <c:invertIfNegative val="0"/>
          <c:cat>
            <c:strRef>
              <c:f>Sheet2!$P$2:$P$33</c:f>
              <c:strCache>
                <c:ptCount val="32"/>
                <c:pt idx="0">
                  <c:v>Sterling (N_1)</c:v>
                </c:pt>
                <c:pt idx="1">
                  <c:v>Sterling (Hop Union)</c:v>
                </c:pt>
                <c:pt idx="2">
                  <c:v>Perle (NJ_1)</c:v>
                </c:pt>
                <c:pt idx="3">
                  <c:v>Perle (Hop Union)</c:v>
                </c:pt>
                <c:pt idx="4">
                  <c:v>Magnum (NJ_2)</c:v>
                </c:pt>
                <c:pt idx="5">
                  <c:v>Magnum (Hop Union)</c:v>
                </c:pt>
                <c:pt idx="6">
                  <c:v>Wilamette (Snyder Plot)</c:v>
                </c:pt>
                <c:pt idx="7">
                  <c:v>Wilamette (Hop Union)</c:v>
                </c:pt>
                <c:pt idx="8">
                  <c:v>Ultra (NJ_1)</c:v>
                </c:pt>
                <c:pt idx="9">
                  <c:v>Ultra (Hop Union)</c:v>
                </c:pt>
                <c:pt idx="10">
                  <c:v>Sorachi Ace (Snyder Plot)</c:v>
                </c:pt>
                <c:pt idx="11">
                  <c:v>Sorachi Ace (Hop Union)</c:v>
                </c:pt>
                <c:pt idx="12">
                  <c:v>Nugget (NJ_3)</c:v>
                </c:pt>
                <c:pt idx="13">
                  <c:v>Nugget (NJ_3)</c:v>
                </c:pt>
                <c:pt idx="14">
                  <c:v>Nugget (NJ_1)</c:v>
                </c:pt>
                <c:pt idx="15">
                  <c:v>Nugget (NJ_2)</c:v>
                </c:pt>
                <c:pt idx="16">
                  <c:v>Nugget (Snyder Plot)</c:v>
                </c:pt>
                <c:pt idx="17">
                  <c:v>Nugget (Hop Union)</c:v>
                </c:pt>
                <c:pt idx="18">
                  <c:v>Newport (Snyder Plot)</c:v>
                </c:pt>
                <c:pt idx="19">
                  <c:v>Newport (Hop Union)</c:v>
                </c:pt>
                <c:pt idx="20">
                  <c:v>Chinook (NJ_3)</c:v>
                </c:pt>
                <c:pt idx="21">
                  <c:v>Chinook (NJ_2)</c:v>
                </c:pt>
                <c:pt idx="22">
                  <c:v>Chinook (NJ_2)</c:v>
                </c:pt>
                <c:pt idx="23">
                  <c:v>Chinook (Snyder Plot)</c:v>
                </c:pt>
                <c:pt idx="24">
                  <c:v>Chinook (Hop Union)</c:v>
                </c:pt>
                <c:pt idx="25">
                  <c:v>Centennial (NJ_1)</c:v>
                </c:pt>
                <c:pt idx="26">
                  <c:v>Centennial (Snyder Plot Avg.)</c:v>
                </c:pt>
                <c:pt idx="27">
                  <c:v>Centennial (Hop Union)</c:v>
                </c:pt>
                <c:pt idx="28">
                  <c:v>Cascade (NJ_3)</c:v>
                </c:pt>
                <c:pt idx="29">
                  <c:v>Cascade (NJ_3)</c:v>
                </c:pt>
                <c:pt idx="30">
                  <c:v>Cascade (Snyder Plot Avg.)</c:v>
                </c:pt>
                <c:pt idx="31">
                  <c:v>Cascade (Hop Union)</c:v>
                </c:pt>
              </c:strCache>
            </c:strRef>
          </c:cat>
          <c:val>
            <c:numRef>
              <c:f>Sheet2!$Q$2:$Q$33</c:f>
              <c:numCache>
                <c:formatCode>General</c:formatCode>
                <c:ptCount val="32"/>
                <c:pt idx="0">
                  <c:v>11.2</c:v>
                </c:pt>
                <c:pt idx="1">
                  <c:v>5.5</c:v>
                </c:pt>
                <c:pt idx="2">
                  <c:v>1.93</c:v>
                </c:pt>
                <c:pt idx="3">
                  <c:v>4.0</c:v>
                </c:pt>
                <c:pt idx="4">
                  <c:v>10.82</c:v>
                </c:pt>
                <c:pt idx="5">
                  <c:v>12.0</c:v>
                </c:pt>
                <c:pt idx="6">
                  <c:v>0.552</c:v>
                </c:pt>
                <c:pt idx="7">
                  <c:v>4.5</c:v>
                </c:pt>
                <c:pt idx="8">
                  <c:v>4.83</c:v>
                </c:pt>
                <c:pt idx="9">
                  <c:v>9.200000000000001</c:v>
                </c:pt>
                <c:pt idx="10">
                  <c:v>7.689999999999999</c:v>
                </c:pt>
                <c:pt idx="11">
                  <c:v>11.5</c:v>
                </c:pt>
                <c:pt idx="12">
                  <c:v>10.28</c:v>
                </c:pt>
                <c:pt idx="13">
                  <c:v>11.45</c:v>
                </c:pt>
                <c:pt idx="14">
                  <c:v>1.77</c:v>
                </c:pt>
                <c:pt idx="15">
                  <c:v>10.64</c:v>
                </c:pt>
                <c:pt idx="16">
                  <c:v>3.38</c:v>
                </c:pt>
                <c:pt idx="17">
                  <c:v>11.5</c:v>
                </c:pt>
                <c:pt idx="18">
                  <c:v>5.73</c:v>
                </c:pt>
                <c:pt idx="19">
                  <c:v>10.0</c:v>
                </c:pt>
                <c:pt idx="20">
                  <c:v>7.77</c:v>
                </c:pt>
                <c:pt idx="21">
                  <c:v>8.06</c:v>
                </c:pt>
                <c:pt idx="22">
                  <c:v>9.030000000000001</c:v>
                </c:pt>
                <c:pt idx="23">
                  <c:v>8.61</c:v>
                </c:pt>
                <c:pt idx="24">
                  <c:v>11.5</c:v>
                </c:pt>
                <c:pt idx="25">
                  <c:v>8.97</c:v>
                </c:pt>
                <c:pt idx="26">
                  <c:v>6.096</c:v>
                </c:pt>
                <c:pt idx="27">
                  <c:v>7.0</c:v>
                </c:pt>
                <c:pt idx="28">
                  <c:v>3.57</c:v>
                </c:pt>
                <c:pt idx="29">
                  <c:v>3.81</c:v>
                </c:pt>
                <c:pt idx="30">
                  <c:v>2.485</c:v>
                </c:pt>
                <c:pt idx="31">
                  <c:v>5.5</c:v>
                </c:pt>
              </c:numCache>
            </c:numRef>
          </c:val>
          <c:extLst xmlns:c16r2="http://schemas.microsoft.com/office/drawing/2015/06/chart">
            <c:ext xmlns:c16="http://schemas.microsoft.com/office/drawing/2014/chart" uri="{C3380CC4-5D6E-409C-BE32-E72D297353CC}">
              <c16:uniqueId val="{00000000-DAF8-44E2-8500-17D95106785F}"/>
            </c:ext>
          </c:extLst>
        </c:ser>
        <c:ser>
          <c:idx val="1"/>
          <c:order val="1"/>
          <c:tx>
            <c:strRef>
              <c:f>Sheet2!$S$1</c:f>
              <c:strCache>
                <c:ptCount val="1"/>
                <c:pt idx="0">
                  <c:v>Difference in Alphas</c:v>
                </c:pt>
              </c:strCache>
            </c:strRef>
          </c:tx>
          <c:spPr>
            <a:solidFill>
              <a:schemeClr val="accent2"/>
            </a:solidFill>
            <a:ln>
              <a:noFill/>
            </a:ln>
            <a:effectLst/>
          </c:spPr>
          <c:invertIfNegative val="0"/>
          <c:dPt>
            <c:idx val="0"/>
            <c:invertIfNegative val="0"/>
            <c:bubble3D val="0"/>
            <c:spPr>
              <a:solidFill>
                <a:schemeClr val="accent6">
                  <a:lumMod val="50000"/>
                </a:schemeClr>
              </a:solidFill>
              <a:ln>
                <a:solidFill>
                  <a:schemeClr val="accent6">
                    <a:lumMod val="50000"/>
                  </a:schemeClr>
                </a:solidFill>
              </a:ln>
              <a:effectLst/>
            </c:spPr>
            <c:extLst xmlns:c16r2="http://schemas.microsoft.com/office/drawing/2015/06/chart">
              <c:ext xmlns:c16="http://schemas.microsoft.com/office/drawing/2014/chart" uri="{C3380CC4-5D6E-409C-BE32-E72D297353CC}">
                <c16:uniqueId val="{00000002-DAF8-44E2-8500-17D95106785F}"/>
              </c:ext>
            </c:extLst>
          </c:dPt>
          <c:dPt>
            <c:idx val="1"/>
            <c:invertIfNegative val="0"/>
            <c:bubble3D val="0"/>
            <c:spPr>
              <a:solidFill>
                <a:schemeClr val="accent6">
                  <a:lumMod val="75000"/>
                </a:schemeClr>
              </a:solidFill>
              <a:ln>
                <a:solidFill>
                  <a:sysClr val="windowText" lastClr="000000"/>
                </a:solidFill>
              </a:ln>
              <a:effectLst/>
            </c:spPr>
            <c:extLst xmlns:c16r2="http://schemas.microsoft.com/office/drawing/2015/06/chart">
              <c:ext xmlns:c16="http://schemas.microsoft.com/office/drawing/2014/chart" uri="{C3380CC4-5D6E-409C-BE32-E72D297353CC}">
                <c16:uniqueId val="{00000004-DAF8-44E2-8500-17D95106785F}"/>
              </c:ext>
            </c:extLst>
          </c:dPt>
          <c:dPt>
            <c:idx val="2"/>
            <c:invertIfNegative val="0"/>
            <c:bubble3D val="0"/>
            <c:spPr>
              <a:solidFill>
                <a:schemeClr val="accent1">
                  <a:lumMod val="75000"/>
                </a:schemeClr>
              </a:solidFill>
              <a:ln>
                <a:solidFill>
                  <a:schemeClr val="accent1">
                    <a:lumMod val="75000"/>
                  </a:schemeClr>
                </a:solidFill>
              </a:ln>
              <a:effectLst/>
            </c:spPr>
            <c:extLst xmlns:c16r2="http://schemas.microsoft.com/office/drawing/2015/06/chart">
              <c:ext xmlns:c16="http://schemas.microsoft.com/office/drawing/2014/chart" uri="{C3380CC4-5D6E-409C-BE32-E72D297353CC}">
                <c16:uniqueId val="{00000006-DAF8-44E2-8500-17D95106785F}"/>
              </c:ext>
            </c:extLst>
          </c:dPt>
          <c:dPt>
            <c:idx val="3"/>
            <c:invertIfNegative val="0"/>
            <c:bubble3D val="0"/>
            <c:spPr>
              <a:solidFill>
                <a:schemeClr val="accent1">
                  <a:lumMod val="75000"/>
                </a:schemeClr>
              </a:solidFill>
              <a:ln>
                <a:solidFill>
                  <a:sysClr val="windowText" lastClr="000000"/>
                </a:solidFill>
              </a:ln>
              <a:effectLst/>
            </c:spPr>
            <c:extLst xmlns:c16r2="http://schemas.microsoft.com/office/drawing/2015/06/chart">
              <c:ext xmlns:c16="http://schemas.microsoft.com/office/drawing/2014/chart" uri="{C3380CC4-5D6E-409C-BE32-E72D297353CC}">
                <c16:uniqueId val="{00000008-DAF8-44E2-8500-17D95106785F}"/>
              </c:ext>
            </c:extLst>
          </c:dPt>
          <c:dPt>
            <c:idx val="4"/>
            <c:invertIfNegative val="0"/>
            <c:bubble3D val="0"/>
            <c:spPr>
              <a:solidFill>
                <a:srgbClr val="CC0099"/>
              </a:solidFill>
              <a:ln>
                <a:noFill/>
              </a:ln>
              <a:effectLst/>
            </c:spPr>
            <c:extLst xmlns:c16r2="http://schemas.microsoft.com/office/drawing/2015/06/chart">
              <c:ext xmlns:c16="http://schemas.microsoft.com/office/drawing/2014/chart" uri="{C3380CC4-5D6E-409C-BE32-E72D297353CC}">
                <c16:uniqueId val="{0000000A-DAF8-44E2-8500-17D95106785F}"/>
              </c:ext>
            </c:extLst>
          </c:dPt>
          <c:dPt>
            <c:idx val="5"/>
            <c:invertIfNegative val="0"/>
            <c:bubble3D val="0"/>
            <c:spPr>
              <a:solidFill>
                <a:srgbClr val="CC0099"/>
              </a:solidFill>
              <a:ln>
                <a:solidFill>
                  <a:sysClr val="windowText" lastClr="000000"/>
                </a:solidFill>
              </a:ln>
              <a:effectLst/>
            </c:spPr>
            <c:extLst xmlns:c16r2="http://schemas.microsoft.com/office/drawing/2015/06/chart">
              <c:ext xmlns:c16="http://schemas.microsoft.com/office/drawing/2014/chart" uri="{C3380CC4-5D6E-409C-BE32-E72D297353CC}">
                <c16:uniqueId val="{0000000C-DAF8-44E2-8500-17D95106785F}"/>
              </c:ext>
            </c:extLst>
          </c:dPt>
          <c:dPt>
            <c:idx val="6"/>
            <c:invertIfNegative val="0"/>
            <c:bubble3D val="0"/>
            <c:spPr>
              <a:solidFill>
                <a:srgbClr val="FF3300"/>
              </a:solidFill>
              <a:ln>
                <a:solidFill>
                  <a:srgbClr val="FF3300"/>
                </a:solidFill>
              </a:ln>
              <a:effectLst/>
            </c:spPr>
            <c:extLst xmlns:c16r2="http://schemas.microsoft.com/office/drawing/2015/06/chart">
              <c:ext xmlns:c16="http://schemas.microsoft.com/office/drawing/2014/chart" uri="{C3380CC4-5D6E-409C-BE32-E72D297353CC}">
                <c16:uniqueId val="{0000000E-DAF8-44E2-8500-17D95106785F}"/>
              </c:ext>
            </c:extLst>
          </c:dPt>
          <c:dPt>
            <c:idx val="7"/>
            <c:invertIfNegative val="0"/>
            <c:bubble3D val="0"/>
            <c:spPr>
              <a:solidFill>
                <a:srgbClr val="FF3300"/>
              </a:solidFill>
              <a:ln>
                <a:solidFill>
                  <a:schemeClr val="tx1"/>
                </a:solidFill>
              </a:ln>
              <a:effectLst/>
            </c:spPr>
            <c:extLst xmlns:c16r2="http://schemas.microsoft.com/office/drawing/2015/06/chart">
              <c:ext xmlns:c16="http://schemas.microsoft.com/office/drawing/2014/chart" uri="{C3380CC4-5D6E-409C-BE32-E72D297353CC}">
                <c16:uniqueId val="{00000010-DAF8-44E2-8500-17D95106785F}"/>
              </c:ext>
            </c:extLst>
          </c:dPt>
          <c:dPt>
            <c:idx val="8"/>
            <c:invertIfNegative val="0"/>
            <c:bubble3D val="0"/>
            <c:spPr>
              <a:solidFill>
                <a:srgbClr val="FFC000"/>
              </a:solidFill>
              <a:ln>
                <a:solidFill>
                  <a:srgbClr val="FFC000"/>
                </a:solidFill>
              </a:ln>
              <a:effectLst/>
            </c:spPr>
            <c:extLst xmlns:c16r2="http://schemas.microsoft.com/office/drawing/2015/06/chart">
              <c:ext xmlns:c16="http://schemas.microsoft.com/office/drawing/2014/chart" uri="{C3380CC4-5D6E-409C-BE32-E72D297353CC}">
                <c16:uniqueId val="{00000012-DAF8-44E2-8500-17D95106785F}"/>
              </c:ext>
            </c:extLst>
          </c:dPt>
          <c:dPt>
            <c:idx val="9"/>
            <c:invertIfNegative val="0"/>
            <c:bubble3D val="0"/>
            <c:spPr>
              <a:solidFill>
                <a:schemeClr val="accent4"/>
              </a:solidFill>
              <a:ln>
                <a:solidFill>
                  <a:sysClr val="windowText" lastClr="000000"/>
                </a:solidFill>
              </a:ln>
              <a:effectLst/>
            </c:spPr>
            <c:extLst xmlns:c16r2="http://schemas.microsoft.com/office/drawing/2015/06/chart">
              <c:ext xmlns:c16="http://schemas.microsoft.com/office/drawing/2014/chart" uri="{C3380CC4-5D6E-409C-BE32-E72D297353CC}">
                <c16:uniqueId val="{00000014-DAF8-44E2-8500-17D95106785F}"/>
              </c:ext>
            </c:extLst>
          </c:dPt>
          <c:dPt>
            <c:idx val="10"/>
            <c:invertIfNegative val="0"/>
            <c:bubble3D val="0"/>
            <c:spPr>
              <a:solidFill>
                <a:srgbClr val="FFFF00"/>
              </a:solidFill>
              <a:ln>
                <a:solidFill>
                  <a:srgbClr val="FFFF00"/>
                </a:solidFill>
              </a:ln>
              <a:effectLst/>
            </c:spPr>
            <c:extLst xmlns:c16r2="http://schemas.microsoft.com/office/drawing/2015/06/chart">
              <c:ext xmlns:c16="http://schemas.microsoft.com/office/drawing/2014/chart" uri="{C3380CC4-5D6E-409C-BE32-E72D297353CC}">
                <c16:uniqueId val="{00000016-DAF8-44E2-8500-17D95106785F}"/>
              </c:ext>
            </c:extLst>
          </c:dPt>
          <c:dPt>
            <c:idx val="11"/>
            <c:invertIfNegative val="0"/>
            <c:bubble3D val="0"/>
            <c:spPr>
              <a:solidFill>
                <a:srgbClr val="FFFF00"/>
              </a:solidFill>
              <a:ln>
                <a:solidFill>
                  <a:sysClr val="windowText" lastClr="000000"/>
                </a:solidFill>
              </a:ln>
              <a:effectLst/>
            </c:spPr>
            <c:extLst xmlns:c16r2="http://schemas.microsoft.com/office/drawing/2015/06/chart">
              <c:ext xmlns:c16="http://schemas.microsoft.com/office/drawing/2014/chart" uri="{C3380CC4-5D6E-409C-BE32-E72D297353CC}">
                <c16:uniqueId val="{00000018-DAF8-44E2-8500-17D95106785F}"/>
              </c:ext>
            </c:extLst>
          </c:dPt>
          <c:dPt>
            <c:idx val="12"/>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1A-DAF8-44E2-8500-17D95106785F}"/>
              </c:ext>
            </c:extLst>
          </c:dPt>
          <c:dPt>
            <c:idx val="1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1C-DAF8-44E2-8500-17D95106785F}"/>
              </c:ext>
            </c:extLst>
          </c:dPt>
          <c:dPt>
            <c:idx val="14"/>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1E-DAF8-44E2-8500-17D95106785F}"/>
              </c:ext>
            </c:extLst>
          </c:dPt>
          <c:dPt>
            <c:idx val="15"/>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20-DAF8-44E2-8500-17D95106785F}"/>
              </c:ext>
            </c:extLst>
          </c:dPt>
          <c:dPt>
            <c:idx val="16"/>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22-DAF8-44E2-8500-17D95106785F}"/>
              </c:ext>
            </c:extLst>
          </c:dPt>
          <c:dPt>
            <c:idx val="17"/>
            <c:invertIfNegative val="0"/>
            <c:bubble3D val="0"/>
            <c:spPr>
              <a:solidFill>
                <a:srgbClr val="00B050"/>
              </a:solidFill>
              <a:ln>
                <a:solidFill>
                  <a:sysClr val="windowText" lastClr="000000"/>
                </a:solidFill>
              </a:ln>
              <a:effectLst/>
            </c:spPr>
            <c:extLst xmlns:c16r2="http://schemas.microsoft.com/office/drawing/2015/06/chart">
              <c:ext xmlns:c16="http://schemas.microsoft.com/office/drawing/2014/chart" uri="{C3380CC4-5D6E-409C-BE32-E72D297353CC}">
                <c16:uniqueId val="{00000024-DAF8-44E2-8500-17D95106785F}"/>
              </c:ext>
            </c:extLst>
          </c:dPt>
          <c:dPt>
            <c:idx val="18"/>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26-DAF8-44E2-8500-17D95106785F}"/>
              </c:ext>
            </c:extLst>
          </c:dPt>
          <c:dPt>
            <c:idx val="19"/>
            <c:invertIfNegative val="0"/>
            <c:bubble3D val="0"/>
            <c:spPr>
              <a:solidFill>
                <a:srgbClr val="0070C0"/>
              </a:solidFill>
              <a:ln>
                <a:solidFill>
                  <a:sysClr val="windowText" lastClr="000000"/>
                </a:solidFill>
              </a:ln>
              <a:effectLst/>
            </c:spPr>
            <c:extLst xmlns:c16r2="http://schemas.microsoft.com/office/drawing/2015/06/chart">
              <c:ext xmlns:c16="http://schemas.microsoft.com/office/drawing/2014/chart" uri="{C3380CC4-5D6E-409C-BE32-E72D297353CC}">
                <c16:uniqueId val="{00000028-DAF8-44E2-8500-17D95106785F}"/>
              </c:ext>
            </c:extLst>
          </c:dPt>
          <c:dPt>
            <c:idx val="20"/>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2A-DAF8-44E2-8500-17D95106785F}"/>
              </c:ext>
            </c:extLst>
          </c:dPt>
          <c:dPt>
            <c:idx val="21"/>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2C-DAF8-44E2-8500-17D95106785F}"/>
              </c:ext>
            </c:extLst>
          </c:dPt>
          <c:dPt>
            <c:idx val="22"/>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2E-DAF8-44E2-8500-17D95106785F}"/>
              </c:ext>
            </c:extLst>
          </c:dPt>
          <c:dPt>
            <c:idx val="24"/>
            <c:invertIfNegative val="0"/>
            <c:bubble3D val="0"/>
            <c:spPr>
              <a:solidFill>
                <a:srgbClr val="7030A0"/>
              </a:solidFill>
              <a:ln>
                <a:solidFill>
                  <a:sysClr val="windowText" lastClr="000000"/>
                </a:solidFill>
              </a:ln>
              <a:effectLst/>
            </c:spPr>
            <c:extLst xmlns:c16r2="http://schemas.microsoft.com/office/drawing/2015/06/chart">
              <c:ext xmlns:c16="http://schemas.microsoft.com/office/drawing/2014/chart" uri="{C3380CC4-5D6E-409C-BE32-E72D297353CC}">
                <c16:uniqueId val="{00000030-DAF8-44E2-8500-17D95106785F}"/>
              </c:ext>
            </c:extLst>
          </c:dPt>
          <c:dPt>
            <c:idx val="25"/>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32-DAF8-44E2-8500-17D95106785F}"/>
              </c:ext>
            </c:extLst>
          </c:dPt>
          <c:dPt>
            <c:idx val="26"/>
            <c:invertIfNegative val="0"/>
            <c:bubble3D val="0"/>
            <c:spPr>
              <a:solidFill>
                <a:srgbClr val="FF0000"/>
              </a:solidFill>
              <a:ln>
                <a:solidFill>
                  <a:srgbClr val="FF0000"/>
                </a:solidFill>
              </a:ln>
              <a:effectLst/>
            </c:spPr>
            <c:extLst xmlns:c16r2="http://schemas.microsoft.com/office/drawing/2015/06/chart">
              <c:ext xmlns:c16="http://schemas.microsoft.com/office/drawing/2014/chart" uri="{C3380CC4-5D6E-409C-BE32-E72D297353CC}">
                <c16:uniqueId val="{00000034-DAF8-44E2-8500-17D95106785F}"/>
              </c:ext>
            </c:extLst>
          </c:dPt>
          <c:dPt>
            <c:idx val="27"/>
            <c:invertIfNegative val="0"/>
            <c:bubble3D val="0"/>
            <c:spPr>
              <a:solidFill>
                <a:srgbClr val="FF0000"/>
              </a:solidFill>
              <a:ln>
                <a:solidFill>
                  <a:sysClr val="windowText" lastClr="000000"/>
                </a:solidFill>
              </a:ln>
              <a:effectLst/>
            </c:spPr>
            <c:extLst xmlns:c16r2="http://schemas.microsoft.com/office/drawing/2015/06/chart">
              <c:ext xmlns:c16="http://schemas.microsoft.com/office/drawing/2014/chart" uri="{C3380CC4-5D6E-409C-BE32-E72D297353CC}">
                <c16:uniqueId val="{00000036-DAF8-44E2-8500-17D95106785F}"/>
              </c:ext>
            </c:extLst>
          </c:dPt>
          <c:dPt>
            <c:idx val="31"/>
            <c:invertIfNegative val="0"/>
            <c:bubble3D val="0"/>
            <c:spPr>
              <a:solidFill>
                <a:schemeClr val="accent2"/>
              </a:solidFill>
              <a:ln>
                <a:solidFill>
                  <a:schemeClr val="tx1">
                    <a:lumMod val="95000"/>
                    <a:lumOff val="5000"/>
                  </a:schemeClr>
                </a:solidFill>
              </a:ln>
              <a:effectLst/>
            </c:spPr>
            <c:extLst xmlns:c16r2="http://schemas.microsoft.com/office/drawing/2015/06/chart">
              <c:ext xmlns:c16="http://schemas.microsoft.com/office/drawing/2014/chart" uri="{C3380CC4-5D6E-409C-BE32-E72D297353CC}">
                <c16:uniqueId val="{00000038-DAF8-44E2-8500-17D95106785F}"/>
              </c:ext>
            </c:extLst>
          </c:dPt>
          <c:val>
            <c:numRef>
              <c:f>Sheet2!$S$2:$S$33</c:f>
              <c:numCache>
                <c:formatCode>General</c:formatCode>
                <c:ptCount val="32"/>
                <c:pt idx="0">
                  <c:v>1.010000000000002</c:v>
                </c:pt>
                <c:pt idx="1">
                  <c:v>3.0</c:v>
                </c:pt>
                <c:pt idx="2">
                  <c:v>0.42</c:v>
                </c:pt>
                <c:pt idx="3">
                  <c:v>5.0</c:v>
                </c:pt>
                <c:pt idx="4">
                  <c:v>1.33</c:v>
                </c:pt>
                <c:pt idx="5">
                  <c:v>3.5</c:v>
                </c:pt>
                <c:pt idx="6">
                  <c:v>1.872</c:v>
                </c:pt>
                <c:pt idx="7">
                  <c:v>2.0</c:v>
                </c:pt>
                <c:pt idx="8">
                  <c:v>0.19</c:v>
                </c:pt>
                <c:pt idx="9">
                  <c:v>0.5</c:v>
                </c:pt>
                <c:pt idx="10">
                  <c:v>0.88</c:v>
                </c:pt>
                <c:pt idx="11">
                  <c:v>3.0</c:v>
                </c:pt>
                <c:pt idx="12">
                  <c:v>0.140000000000001</c:v>
                </c:pt>
                <c:pt idx="13">
                  <c:v>0.180000000000001</c:v>
                </c:pt>
                <c:pt idx="14">
                  <c:v>3.41</c:v>
                </c:pt>
                <c:pt idx="15">
                  <c:v>0.26</c:v>
                </c:pt>
                <c:pt idx="16">
                  <c:v>4.723333333333333</c:v>
                </c:pt>
                <c:pt idx="17">
                  <c:v>2.5</c:v>
                </c:pt>
                <c:pt idx="18">
                  <c:v>0.409999999999999</c:v>
                </c:pt>
                <c:pt idx="19">
                  <c:v>2.5</c:v>
                </c:pt>
                <c:pt idx="20">
                  <c:v>0.48</c:v>
                </c:pt>
                <c:pt idx="21">
                  <c:v>0.539999999999999</c:v>
                </c:pt>
                <c:pt idx="22">
                  <c:v>0.130000000000001</c:v>
                </c:pt>
                <c:pt idx="23">
                  <c:v>0.0300000000000011</c:v>
                </c:pt>
                <c:pt idx="24">
                  <c:v>3.5</c:v>
                </c:pt>
                <c:pt idx="25">
                  <c:v>0.49</c:v>
                </c:pt>
                <c:pt idx="26">
                  <c:v>0.636000000000001</c:v>
                </c:pt>
                <c:pt idx="27">
                  <c:v>5.0</c:v>
                </c:pt>
                <c:pt idx="28">
                  <c:v>0.0700000000000003</c:v>
                </c:pt>
                <c:pt idx="29">
                  <c:v>0.42</c:v>
                </c:pt>
                <c:pt idx="30">
                  <c:v>1.762499999999999</c:v>
                </c:pt>
                <c:pt idx="31">
                  <c:v>3.5</c:v>
                </c:pt>
              </c:numCache>
            </c:numRef>
          </c:val>
          <c:extLst xmlns:c16r2="http://schemas.microsoft.com/office/drawing/2015/06/chart">
            <c:ext xmlns:c16="http://schemas.microsoft.com/office/drawing/2014/chart" uri="{C3380CC4-5D6E-409C-BE32-E72D297353CC}">
              <c16:uniqueId val="{00000039-DAF8-44E2-8500-17D95106785F}"/>
            </c:ext>
          </c:extLst>
        </c:ser>
        <c:dLbls>
          <c:showLegendKey val="0"/>
          <c:showVal val="0"/>
          <c:showCatName val="0"/>
          <c:showSerName val="0"/>
          <c:showPercent val="0"/>
          <c:showBubbleSize val="0"/>
        </c:dLbls>
        <c:gapWidth val="150"/>
        <c:overlap val="100"/>
        <c:axId val="-2083124232"/>
        <c:axId val="-2045149016"/>
      </c:barChart>
      <c:catAx>
        <c:axId val="-2083124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45149016"/>
        <c:crosses val="autoZero"/>
        <c:auto val="1"/>
        <c:lblAlgn val="ctr"/>
        <c:lblOffset val="100"/>
        <c:noMultiLvlLbl val="0"/>
      </c:catAx>
      <c:valAx>
        <c:axId val="-20451490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600" baseline="0">
                    <a:solidFill>
                      <a:sysClr val="windowText" lastClr="000000"/>
                    </a:solidFill>
                    <a:latin typeface="Arial" panose="020B0604020202020204" pitchFamily="34" charset="0"/>
                    <a:cs typeface="Arial" panose="020B0604020202020204" pitchFamily="34" charset="0"/>
                  </a:rPr>
                  <a:t>Percentage Alpha acid/Dry Weight</a:t>
                </a:r>
                <a:endParaRPr lang="en-US" sz="1600">
                  <a:solidFill>
                    <a:sysClr val="windowText" lastClr="000000"/>
                  </a:solidFill>
                  <a:latin typeface="Arial" panose="020B0604020202020204" pitchFamily="34" charset="0"/>
                  <a:cs typeface="Arial" panose="020B0604020202020204" pitchFamily="3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83124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938061942322"/>
          <c:y val="0.0428954423592493"/>
          <c:w val="0.815631494609874"/>
          <c:h val="0.88652104813976"/>
        </c:manualLayout>
      </c:layout>
      <c:barChart>
        <c:barDir val="bar"/>
        <c:grouping val="stacked"/>
        <c:varyColors val="0"/>
        <c:ser>
          <c:idx val="0"/>
          <c:order val="0"/>
          <c:tx>
            <c:strRef>
              <c:f>Sheet2!$T$1</c:f>
              <c:strCache>
                <c:ptCount val="1"/>
                <c:pt idx="0">
                  <c:v>Beta Acid (low percent)</c:v>
                </c:pt>
              </c:strCache>
            </c:strRef>
          </c:tx>
          <c:spPr>
            <a:solidFill>
              <a:sysClr val="window" lastClr="FFFFFF"/>
            </a:solidFill>
            <a:ln>
              <a:noFill/>
            </a:ln>
            <a:effectLst/>
          </c:spPr>
          <c:invertIfNegative val="0"/>
          <c:cat>
            <c:strRef>
              <c:f>Sheet2!$P$2:$P$33</c:f>
              <c:strCache>
                <c:ptCount val="32"/>
                <c:pt idx="0">
                  <c:v>Sterling (N_1)</c:v>
                </c:pt>
                <c:pt idx="1">
                  <c:v>Sterling (Hop Union)</c:v>
                </c:pt>
                <c:pt idx="2">
                  <c:v>Perle (NJ_1)</c:v>
                </c:pt>
                <c:pt idx="3">
                  <c:v>Perle (Hop Union)</c:v>
                </c:pt>
                <c:pt idx="4">
                  <c:v>Magnum (NJ_2)</c:v>
                </c:pt>
                <c:pt idx="5">
                  <c:v>Magnum (Hop Union)</c:v>
                </c:pt>
                <c:pt idx="6">
                  <c:v>Wilamette (Snyder Plot)</c:v>
                </c:pt>
                <c:pt idx="7">
                  <c:v>Wilamette (Hop Union)</c:v>
                </c:pt>
                <c:pt idx="8">
                  <c:v>Ultra (NJ_1)</c:v>
                </c:pt>
                <c:pt idx="9">
                  <c:v>Ultra (Hop Union)</c:v>
                </c:pt>
                <c:pt idx="10">
                  <c:v>Sorachi Ace (Snyder Plot)</c:v>
                </c:pt>
                <c:pt idx="11">
                  <c:v>Sorachi Ace (Hop Union)</c:v>
                </c:pt>
                <c:pt idx="12">
                  <c:v>Nugget (NJ_3)</c:v>
                </c:pt>
                <c:pt idx="13">
                  <c:v>Nugget (NJ_3)</c:v>
                </c:pt>
                <c:pt idx="14">
                  <c:v>Nugget (NJ_1)</c:v>
                </c:pt>
                <c:pt idx="15">
                  <c:v>Nugget (NJ_2)</c:v>
                </c:pt>
                <c:pt idx="16">
                  <c:v>Nugget (Snyder Plot)</c:v>
                </c:pt>
                <c:pt idx="17">
                  <c:v>Nugget (Hop Union)</c:v>
                </c:pt>
                <c:pt idx="18">
                  <c:v>Newport (Snyder Plot)</c:v>
                </c:pt>
                <c:pt idx="19">
                  <c:v>Newport (Hop Union)</c:v>
                </c:pt>
                <c:pt idx="20">
                  <c:v>Chinook (NJ_3)</c:v>
                </c:pt>
                <c:pt idx="21">
                  <c:v>Chinook (NJ_2)</c:v>
                </c:pt>
                <c:pt idx="22">
                  <c:v>Chinook (NJ_2)</c:v>
                </c:pt>
                <c:pt idx="23">
                  <c:v>Chinook (Snyder Plot)</c:v>
                </c:pt>
                <c:pt idx="24">
                  <c:v>Chinook (Hop Union)</c:v>
                </c:pt>
                <c:pt idx="25">
                  <c:v>Centennial (NJ_1)</c:v>
                </c:pt>
                <c:pt idx="26">
                  <c:v>Centennial (Snyder Plot Avg.)</c:v>
                </c:pt>
                <c:pt idx="27">
                  <c:v>Centennial (Hop Union)</c:v>
                </c:pt>
                <c:pt idx="28">
                  <c:v>Cascade (NJ_3)</c:v>
                </c:pt>
                <c:pt idx="29">
                  <c:v>Cascade (NJ_3)</c:v>
                </c:pt>
                <c:pt idx="30">
                  <c:v>Cascade (Snyder Plot Avg.)</c:v>
                </c:pt>
                <c:pt idx="31">
                  <c:v>Cascade (Hop Union)</c:v>
                </c:pt>
              </c:strCache>
            </c:strRef>
          </c:cat>
          <c:val>
            <c:numRef>
              <c:f>Sheet2!$T$2:$T$33</c:f>
              <c:numCache>
                <c:formatCode>General</c:formatCode>
                <c:ptCount val="32"/>
                <c:pt idx="0">
                  <c:v>3.68</c:v>
                </c:pt>
                <c:pt idx="1">
                  <c:v>4.5</c:v>
                </c:pt>
                <c:pt idx="2">
                  <c:v>1.07</c:v>
                </c:pt>
                <c:pt idx="3">
                  <c:v>2.5</c:v>
                </c:pt>
                <c:pt idx="4">
                  <c:v>5.27</c:v>
                </c:pt>
                <c:pt idx="5">
                  <c:v>5.5</c:v>
                </c:pt>
                <c:pt idx="6">
                  <c:v>0.618</c:v>
                </c:pt>
                <c:pt idx="7">
                  <c:v>3.0</c:v>
                </c:pt>
                <c:pt idx="8">
                  <c:v>2.48</c:v>
                </c:pt>
                <c:pt idx="9">
                  <c:v>3.8</c:v>
                </c:pt>
                <c:pt idx="10">
                  <c:v>7.53</c:v>
                </c:pt>
                <c:pt idx="11">
                  <c:v>6.0</c:v>
                </c:pt>
                <c:pt idx="12">
                  <c:v>2.76</c:v>
                </c:pt>
                <c:pt idx="13">
                  <c:v>2.97</c:v>
                </c:pt>
                <c:pt idx="14">
                  <c:v>0.0</c:v>
                </c:pt>
                <c:pt idx="15">
                  <c:v>2.46</c:v>
                </c:pt>
                <c:pt idx="16">
                  <c:v>0.79</c:v>
                </c:pt>
                <c:pt idx="17">
                  <c:v>3.0</c:v>
                </c:pt>
                <c:pt idx="18">
                  <c:v>4.75</c:v>
                </c:pt>
                <c:pt idx="19">
                  <c:v>5.5</c:v>
                </c:pt>
                <c:pt idx="20">
                  <c:v>2.15</c:v>
                </c:pt>
                <c:pt idx="21">
                  <c:v>2.07</c:v>
                </c:pt>
                <c:pt idx="22">
                  <c:v>2.02</c:v>
                </c:pt>
                <c:pt idx="23">
                  <c:v>2.59</c:v>
                </c:pt>
                <c:pt idx="24">
                  <c:v>3.0</c:v>
                </c:pt>
                <c:pt idx="25">
                  <c:v>2.86</c:v>
                </c:pt>
                <c:pt idx="26">
                  <c:v>2.242</c:v>
                </c:pt>
                <c:pt idx="27">
                  <c:v>3.5</c:v>
                </c:pt>
                <c:pt idx="28">
                  <c:v>4.17</c:v>
                </c:pt>
                <c:pt idx="29">
                  <c:v>5.02</c:v>
                </c:pt>
                <c:pt idx="30">
                  <c:v>3.83</c:v>
                </c:pt>
                <c:pt idx="31">
                  <c:v>6.0</c:v>
                </c:pt>
              </c:numCache>
            </c:numRef>
          </c:val>
          <c:extLst xmlns:c16r2="http://schemas.microsoft.com/office/drawing/2015/06/chart">
            <c:ext xmlns:c16="http://schemas.microsoft.com/office/drawing/2014/chart" uri="{C3380CC4-5D6E-409C-BE32-E72D297353CC}">
              <c16:uniqueId val="{00000000-3487-4833-A359-F5617B2C1DA5}"/>
            </c:ext>
          </c:extLst>
        </c:ser>
        <c:ser>
          <c:idx val="1"/>
          <c:order val="1"/>
          <c:tx>
            <c:strRef>
              <c:f>Sheet2!$V$1</c:f>
              <c:strCache>
                <c:ptCount val="1"/>
                <c:pt idx="0">
                  <c:v>Difference in Betas</c:v>
                </c:pt>
              </c:strCache>
            </c:strRef>
          </c:tx>
          <c:spPr>
            <a:solidFill>
              <a:schemeClr val="accent2"/>
            </a:solidFill>
            <a:ln>
              <a:noFill/>
            </a:ln>
            <a:effectLst/>
          </c:spPr>
          <c:invertIfNegative val="0"/>
          <c:dPt>
            <c:idx val="0"/>
            <c:invertIfNegative val="0"/>
            <c:bubble3D val="0"/>
            <c:spPr>
              <a:solidFill>
                <a:schemeClr val="accent6">
                  <a:lumMod val="50000"/>
                </a:schemeClr>
              </a:solidFill>
              <a:ln>
                <a:solidFill>
                  <a:schemeClr val="accent6">
                    <a:lumMod val="50000"/>
                  </a:schemeClr>
                </a:solidFill>
              </a:ln>
              <a:effectLst/>
            </c:spPr>
            <c:extLst xmlns:c16r2="http://schemas.microsoft.com/office/drawing/2015/06/chart">
              <c:ext xmlns:c16="http://schemas.microsoft.com/office/drawing/2014/chart" uri="{C3380CC4-5D6E-409C-BE32-E72D297353CC}">
                <c16:uniqueId val="{00000002-3487-4833-A359-F5617B2C1DA5}"/>
              </c:ext>
            </c:extLst>
          </c:dPt>
          <c:dPt>
            <c:idx val="1"/>
            <c:invertIfNegative val="0"/>
            <c:bubble3D val="0"/>
            <c:spPr>
              <a:solidFill>
                <a:schemeClr val="accent6">
                  <a:lumMod val="50000"/>
                </a:schemeClr>
              </a:solidFill>
              <a:ln>
                <a:solidFill>
                  <a:schemeClr val="accent6">
                    <a:lumMod val="50000"/>
                  </a:schemeClr>
                </a:solidFill>
              </a:ln>
              <a:effectLst/>
            </c:spPr>
            <c:extLst xmlns:c16r2="http://schemas.microsoft.com/office/drawing/2015/06/chart">
              <c:ext xmlns:c16="http://schemas.microsoft.com/office/drawing/2014/chart" uri="{C3380CC4-5D6E-409C-BE32-E72D297353CC}">
                <c16:uniqueId val="{00000004-3487-4833-A359-F5617B2C1DA5}"/>
              </c:ext>
            </c:extLst>
          </c:dPt>
          <c:dPt>
            <c:idx val="2"/>
            <c:invertIfNegative val="0"/>
            <c:bubble3D val="0"/>
            <c:spPr>
              <a:solidFill>
                <a:schemeClr val="accent1">
                  <a:lumMod val="75000"/>
                </a:schemeClr>
              </a:solidFill>
              <a:ln>
                <a:solidFill>
                  <a:schemeClr val="accent1">
                    <a:lumMod val="75000"/>
                  </a:schemeClr>
                </a:solidFill>
              </a:ln>
              <a:effectLst/>
            </c:spPr>
            <c:extLst xmlns:c16r2="http://schemas.microsoft.com/office/drawing/2015/06/chart">
              <c:ext xmlns:c16="http://schemas.microsoft.com/office/drawing/2014/chart" uri="{C3380CC4-5D6E-409C-BE32-E72D297353CC}">
                <c16:uniqueId val="{00000006-3487-4833-A359-F5617B2C1DA5}"/>
              </c:ext>
            </c:extLst>
          </c:dPt>
          <c:dPt>
            <c:idx val="3"/>
            <c:invertIfNegative val="0"/>
            <c:bubble3D val="0"/>
            <c:spPr>
              <a:solidFill>
                <a:schemeClr val="accent1">
                  <a:lumMod val="75000"/>
                </a:schemeClr>
              </a:solidFill>
              <a:ln>
                <a:solidFill>
                  <a:sysClr val="windowText" lastClr="000000"/>
                </a:solidFill>
              </a:ln>
              <a:effectLst/>
            </c:spPr>
            <c:extLst xmlns:c16r2="http://schemas.microsoft.com/office/drawing/2015/06/chart">
              <c:ext xmlns:c16="http://schemas.microsoft.com/office/drawing/2014/chart" uri="{C3380CC4-5D6E-409C-BE32-E72D297353CC}">
                <c16:uniqueId val="{00000008-3487-4833-A359-F5617B2C1DA5}"/>
              </c:ext>
            </c:extLst>
          </c:dPt>
          <c:dPt>
            <c:idx val="4"/>
            <c:invertIfNegative val="0"/>
            <c:bubble3D val="0"/>
            <c:spPr>
              <a:solidFill>
                <a:srgbClr val="CC0099"/>
              </a:solidFill>
              <a:ln>
                <a:solidFill>
                  <a:srgbClr val="CC0099"/>
                </a:solidFill>
              </a:ln>
              <a:effectLst/>
            </c:spPr>
            <c:extLst xmlns:c16r2="http://schemas.microsoft.com/office/drawing/2015/06/chart">
              <c:ext xmlns:c16="http://schemas.microsoft.com/office/drawing/2014/chart" uri="{C3380CC4-5D6E-409C-BE32-E72D297353CC}">
                <c16:uniqueId val="{0000000A-3487-4833-A359-F5617B2C1DA5}"/>
              </c:ext>
            </c:extLst>
          </c:dPt>
          <c:dPt>
            <c:idx val="5"/>
            <c:invertIfNegative val="0"/>
            <c:bubble3D val="0"/>
            <c:spPr>
              <a:solidFill>
                <a:srgbClr val="CC0099"/>
              </a:solidFill>
              <a:ln>
                <a:solidFill>
                  <a:sysClr val="windowText" lastClr="000000"/>
                </a:solidFill>
              </a:ln>
              <a:effectLst/>
            </c:spPr>
            <c:extLst xmlns:c16r2="http://schemas.microsoft.com/office/drawing/2015/06/chart">
              <c:ext xmlns:c16="http://schemas.microsoft.com/office/drawing/2014/chart" uri="{C3380CC4-5D6E-409C-BE32-E72D297353CC}">
                <c16:uniqueId val="{0000000C-3487-4833-A359-F5617B2C1DA5}"/>
              </c:ext>
            </c:extLst>
          </c:dPt>
          <c:dPt>
            <c:idx val="6"/>
            <c:invertIfNegative val="0"/>
            <c:bubble3D val="0"/>
            <c:spPr>
              <a:solidFill>
                <a:srgbClr val="FF3300"/>
              </a:solidFill>
              <a:ln>
                <a:solidFill>
                  <a:srgbClr val="FF3300"/>
                </a:solidFill>
              </a:ln>
              <a:effectLst/>
            </c:spPr>
            <c:extLst xmlns:c16r2="http://schemas.microsoft.com/office/drawing/2015/06/chart">
              <c:ext xmlns:c16="http://schemas.microsoft.com/office/drawing/2014/chart" uri="{C3380CC4-5D6E-409C-BE32-E72D297353CC}">
                <c16:uniqueId val="{0000000E-3487-4833-A359-F5617B2C1DA5}"/>
              </c:ext>
            </c:extLst>
          </c:dPt>
          <c:dPt>
            <c:idx val="7"/>
            <c:invertIfNegative val="0"/>
            <c:bubble3D val="0"/>
            <c:spPr>
              <a:solidFill>
                <a:srgbClr val="FF3300"/>
              </a:solidFill>
              <a:ln>
                <a:solidFill>
                  <a:sysClr val="windowText" lastClr="000000"/>
                </a:solidFill>
              </a:ln>
              <a:effectLst/>
            </c:spPr>
            <c:extLst xmlns:c16r2="http://schemas.microsoft.com/office/drawing/2015/06/chart">
              <c:ext xmlns:c16="http://schemas.microsoft.com/office/drawing/2014/chart" uri="{C3380CC4-5D6E-409C-BE32-E72D297353CC}">
                <c16:uniqueId val="{00000010-3487-4833-A359-F5617B2C1DA5}"/>
              </c:ext>
            </c:extLst>
          </c:dPt>
          <c:dPt>
            <c:idx val="8"/>
            <c:invertIfNegative val="0"/>
            <c:bubble3D val="0"/>
            <c:spPr>
              <a:solidFill>
                <a:schemeClr val="accent2"/>
              </a:solidFill>
              <a:ln>
                <a:solidFill>
                  <a:schemeClr val="accent4"/>
                </a:solidFill>
              </a:ln>
              <a:effectLst/>
            </c:spPr>
            <c:extLst xmlns:c16r2="http://schemas.microsoft.com/office/drawing/2015/06/chart">
              <c:ext xmlns:c16="http://schemas.microsoft.com/office/drawing/2014/chart" uri="{C3380CC4-5D6E-409C-BE32-E72D297353CC}">
                <c16:uniqueId val="{00000012-3487-4833-A359-F5617B2C1DA5}"/>
              </c:ext>
            </c:extLst>
          </c:dPt>
          <c:dPt>
            <c:idx val="9"/>
            <c:invertIfNegative val="0"/>
            <c:bubble3D val="0"/>
            <c:spPr>
              <a:solidFill>
                <a:schemeClr val="accent4"/>
              </a:solidFill>
              <a:ln>
                <a:solidFill>
                  <a:schemeClr val="tx1"/>
                </a:solidFill>
              </a:ln>
              <a:effectLst/>
            </c:spPr>
            <c:extLst xmlns:c16r2="http://schemas.microsoft.com/office/drawing/2015/06/chart">
              <c:ext xmlns:c16="http://schemas.microsoft.com/office/drawing/2014/chart" uri="{C3380CC4-5D6E-409C-BE32-E72D297353CC}">
                <c16:uniqueId val="{00000014-3487-4833-A359-F5617B2C1DA5}"/>
              </c:ext>
            </c:extLst>
          </c:dPt>
          <c:dPt>
            <c:idx val="10"/>
            <c:invertIfNegative val="0"/>
            <c:bubble3D val="0"/>
            <c:spPr>
              <a:solidFill>
                <a:srgbClr val="FFFF00"/>
              </a:solidFill>
              <a:ln>
                <a:solidFill>
                  <a:srgbClr val="FFFF00"/>
                </a:solidFill>
              </a:ln>
              <a:effectLst/>
            </c:spPr>
            <c:extLst xmlns:c16r2="http://schemas.microsoft.com/office/drawing/2015/06/chart">
              <c:ext xmlns:c16="http://schemas.microsoft.com/office/drawing/2014/chart" uri="{C3380CC4-5D6E-409C-BE32-E72D297353CC}">
                <c16:uniqueId val="{00000016-3487-4833-A359-F5617B2C1DA5}"/>
              </c:ext>
            </c:extLst>
          </c:dPt>
          <c:dPt>
            <c:idx val="11"/>
            <c:invertIfNegative val="0"/>
            <c:bubble3D val="0"/>
            <c:spPr>
              <a:solidFill>
                <a:srgbClr val="FFFF00"/>
              </a:solidFill>
              <a:ln>
                <a:solidFill>
                  <a:sysClr val="windowText" lastClr="000000"/>
                </a:solidFill>
              </a:ln>
              <a:effectLst/>
            </c:spPr>
            <c:extLst xmlns:c16r2="http://schemas.microsoft.com/office/drawing/2015/06/chart">
              <c:ext xmlns:c16="http://schemas.microsoft.com/office/drawing/2014/chart" uri="{C3380CC4-5D6E-409C-BE32-E72D297353CC}">
                <c16:uniqueId val="{00000018-3487-4833-A359-F5617B2C1DA5}"/>
              </c:ext>
            </c:extLst>
          </c:dPt>
          <c:dPt>
            <c:idx val="12"/>
            <c:invertIfNegative val="0"/>
            <c:bubble3D val="0"/>
            <c:spPr>
              <a:solidFill>
                <a:srgbClr val="00B050"/>
              </a:solidFill>
              <a:ln>
                <a:solidFill>
                  <a:srgbClr val="00B050"/>
                </a:solidFill>
              </a:ln>
              <a:effectLst/>
            </c:spPr>
            <c:extLst xmlns:c16r2="http://schemas.microsoft.com/office/drawing/2015/06/chart">
              <c:ext xmlns:c16="http://schemas.microsoft.com/office/drawing/2014/chart" uri="{C3380CC4-5D6E-409C-BE32-E72D297353CC}">
                <c16:uniqueId val="{0000001A-3487-4833-A359-F5617B2C1DA5}"/>
              </c:ext>
            </c:extLst>
          </c:dPt>
          <c:dPt>
            <c:idx val="13"/>
            <c:invertIfNegative val="0"/>
            <c:bubble3D val="0"/>
            <c:spPr>
              <a:solidFill>
                <a:srgbClr val="00B050"/>
              </a:solidFill>
              <a:ln>
                <a:solidFill>
                  <a:srgbClr val="00B050"/>
                </a:solidFill>
              </a:ln>
              <a:effectLst/>
            </c:spPr>
            <c:extLst xmlns:c16r2="http://schemas.microsoft.com/office/drawing/2015/06/chart">
              <c:ext xmlns:c16="http://schemas.microsoft.com/office/drawing/2014/chart" uri="{C3380CC4-5D6E-409C-BE32-E72D297353CC}">
                <c16:uniqueId val="{0000001C-3487-4833-A359-F5617B2C1DA5}"/>
              </c:ext>
            </c:extLst>
          </c:dPt>
          <c:dPt>
            <c:idx val="14"/>
            <c:invertIfNegative val="0"/>
            <c:bubble3D val="0"/>
            <c:spPr>
              <a:solidFill>
                <a:srgbClr val="00B050"/>
              </a:solidFill>
              <a:ln>
                <a:solidFill>
                  <a:srgbClr val="00B050"/>
                </a:solidFill>
              </a:ln>
              <a:effectLst/>
            </c:spPr>
            <c:extLst xmlns:c16r2="http://schemas.microsoft.com/office/drawing/2015/06/chart">
              <c:ext xmlns:c16="http://schemas.microsoft.com/office/drawing/2014/chart" uri="{C3380CC4-5D6E-409C-BE32-E72D297353CC}">
                <c16:uniqueId val="{0000001E-3487-4833-A359-F5617B2C1DA5}"/>
              </c:ext>
            </c:extLst>
          </c:dPt>
          <c:dPt>
            <c:idx val="15"/>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20-3487-4833-A359-F5617B2C1DA5}"/>
              </c:ext>
            </c:extLst>
          </c:dPt>
          <c:dPt>
            <c:idx val="16"/>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22-3487-4833-A359-F5617B2C1DA5}"/>
              </c:ext>
            </c:extLst>
          </c:dPt>
          <c:dPt>
            <c:idx val="17"/>
            <c:invertIfNegative val="0"/>
            <c:bubble3D val="0"/>
            <c:spPr>
              <a:solidFill>
                <a:srgbClr val="00B050"/>
              </a:solidFill>
              <a:ln>
                <a:solidFill>
                  <a:sysClr val="windowText" lastClr="000000"/>
                </a:solidFill>
              </a:ln>
              <a:effectLst/>
            </c:spPr>
            <c:extLst xmlns:c16r2="http://schemas.microsoft.com/office/drawing/2015/06/chart">
              <c:ext xmlns:c16="http://schemas.microsoft.com/office/drawing/2014/chart" uri="{C3380CC4-5D6E-409C-BE32-E72D297353CC}">
                <c16:uniqueId val="{00000024-3487-4833-A359-F5617B2C1DA5}"/>
              </c:ext>
            </c:extLst>
          </c:dPt>
          <c:dPt>
            <c:idx val="18"/>
            <c:invertIfNegative val="0"/>
            <c:bubble3D val="0"/>
            <c:spPr>
              <a:solidFill>
                <a:srgbClr val="0070C0"/>
              </a:solidFill>
              <a:ln>
                <a:solidFill>
                  <a:srgbClr val="0070C0"/>
                </a:solidFill>
              </a:ln>
              <a:effectLst/>
            </c:spPr>
            <c:extLst xmlns:c16r2="http://schemas.microsoft.com/office/drawing/2015/06/chart">
              <c:ext xmlns:c16="http://schemas.microsoft.com/office/drawing/2014/chart" uri="{C3380CC4-5D6E-409C-BE32-E72D297353CC}">
                <c16:uniqueId val="{00000026-3487-4833-A359-F5617B2C1DA5}"/>
              </c:ext>
            </c:extLst>
          </c:dPt>
          <c:dPt>
            <c:idx val="19"/>
            <c:invertIfNegative val="0"/>
            <c:bubble3D val="0"/>
            <c:spPr>
              <a:solidFill>
                <a:srgbClr val="0070C0"/>
              </a:solidFill>
              <a:ln>
                <a:solidFill>
                  <a:sysClr val="windowText" lastClr="000000"/>
                </a:solidFill>
              </a:ln>
              <a:effectLst/>
            </c:spPr>
            <c:extLst xmlns:c16r2="http://schemas.microsoft.com/office/drawing/2015/06/chart">
              <c:ext xmlns:c16="http://schemas.microsoft.com/office/drawing/2014/chart" uri="{C3380CC4-5D6E-409C-BE32-E72D297353CC}">
                <c16:uniqueId val="{00000028-3487-4833-A359-F5617B2C1DA5}"/>
              </c:ext>
            </c:extLst>
          </c:dPt>
          <c:dPt>
            <c:idx val="20"/>
            <c:invertIfNegative val="0"/>
            <c:bubble3D val="0"/>
            <c:spPr>
              <a:solidFill>
                <a:srgbClr val="7030A0"/>
              </a:solidFill>
              <a:ln>
                <a:solidFill>
                  <a:srgbClr val="7030A0"/>
                </a:solidFill>
              </a:ln>
              <a:effectLst/>
            </c:spPr>
            <c:extLst xmlns:c16r2="http://schemas.microsoft.com/office/drawing/2015/06/chart">
              <c:ext xmlns:c16="http://schemas.microsoft.com/office/drawing/2014/chart" uri="{C3380CC4-5D6E-409C-BE32-E72D297353CC}">
                <c16:uniqueId val="{0000002A-3487-4833-A359-F5617B2C1DA5}"/>
              </c:ext>
            </c:extLst>
          </c:dPt>
          <c:dPt>
            <c:idx val="21"/>
            <c:invertIfNegative val="0"/>
            <c:bubble3D val="0"/>
            <c:spPr>
              <a:solidFill>
                <a:srgbClr val="7030A0"/>
              </a:solidFill>
              <a:ln>
                <a:solidFill>
                  <a:srgbClr val="7030A0"/>
                </a:solidFill>
              </a:ln>
              <a:effectLst/>
            </c:spPr>
            <c:extLst xmlns:c16r2="http://schemas.microsoft.com/office/drawing/2015/06/chart">
              <c:ext xmlns:c16="http://schemas.microsoft.com/office/drawing/2014/chart" uri="{C3380CC4-5D6E-409C-BE32-E72D297353CC}">
                <c16:uniqueId val="{0000002C-3487-4833-A359-F5617B2C1DA5}"/>
              </c:ext>
            </c:extLst>
          </c:dPt>
          <c:dPt>
            <c:idx val="22"/>
            <c:invertIfNegative val="0"/>
            <c:bubble3D val="0"/>
            <c:spPr>
              <a:solidFill>
                <a:srgbClr val="7030A0"/>
              </a:solidFill>
              <a:ln>
                <a:solidFill>
                  <a:srgbClr val="7030A0"/>
                </a:solidFill>
              </a:ln>
              <a:effectLst/>
            </c:spPr>
            <c:extLst xmlns:c16r2="http://schemas.microsoft.com/office/drawing/2015/06/chart">
              <c:ext xmlns:c16="http://schemas.microsoft.com/office/drawing/2014/chart" uri="{C3380CC4-5D6E-409C-BE32-E72D297353CC}">
                <c16:uniqueId val="{0000002E-3487-4833-A359-F5617B2C1DA5}"/>
              </c:ext>
            </c:extLst>
          </c:dPt>
          <c:dPt>
            <c:idx val="24"/>
            <c:invertIfNegative val="0"/>
            <c:bubble3D val="0"/>
            <c:spPr>
              <a:solidFill>
                <a:srgbClr val="7030A0"/>
              </a:solidFill>
              <a:ln>
                <a:solidFill>
                  <a:sysClr val="windowText" lastClr="000000"/>
                </a:solidFill>
              </a:ln>
              <a:effectLst/>
            </c:spPr>
            <c:extLst xmlns:c16r2="http://schemas.microsoft.com/office/drawing/2015/06/chart">
              <c:ext xmlns:c16="http://schemas.microsoft.com/office/drawing/2014/chart" uri="{C3380CC4-5D6E-409C-BE32-E72D297353CC}">
                <c16:uniqueId val="{00000030-3487-4833-A359-F5617B2C1DA5}"/>
              </c:ext>
            </c:extLst>
          </c:dPt>
          <c:dPt>
            <c:idx val="25"/>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32-3487-4833-A359-F5617B2C1DA5}"/>
              </c:ext>
            </c:extLst>
          </c:dPt>
          <c:dPt>
            <c:idx val="26"/>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34-3487-4833-A359-F5617B2C1DA5}"/>
              </c:ext>
            </c:extLst>
          </c:dPt>
          <c:dPt>
            <c:idx val="27"/>
            <c:invertIfNegative val="0"/>
            <c:bubble3D val="0"/>
            <c:spPr>
              <a:solidFill>
                <a:srgbClr val="FF0000"/>
              </a:solidFill>
              <a:ln>
                <a:solidFill>
                  <a:sysClr val="windowText" lastClr="000000"/>
                </a:solidFill>
              </a:ln>
              <a:effectLst/>
            </c:spPr>
            <c:extLst xmlns:c16r2="http://schemas.microsoft.com/office/drawing/2015/06/chart">
              <c:ext xmlns:c16="http://schemas.microsoft.com/office/drawing/2014/chart" uri="{C3380CC4-5D6E-409C-BE32-E72D297353CC}">
                <c16:uniqueId val="{00000036-3487-4833-A359-F5617B2C1DA5}"/>
              </c:ext>
            </c:extLst>
          </c:dPt>
          <c:dPt>
            <c:idx val="31"/>
            <c:invertIfNegative val="0"/>
            <c:bubble3D val="0"/>
            <c:spPr>
              <a:solidFill>
                <a:schemeClr val="accent2"/>
              </a:solidFill>
              <a:ln>
                <a:solidFill>
                  <a:sysClr val="windowText" lastClr="000000"/>
                </a:solidFill>
              </a:ln>
              <a:effectLst/>
            </c:spPr>
            <c:extLst xmlns:c16r2="http://schemas.microsoft.com/office/drawing/2015/06/chart">
              <c:ext xmlns:c16="http://schemas.microsoft.com/office/drawing/2014/chart" uri="{C3380CC4-5D6E-409C-BE32-E72D297353CC}">
                <c16:uniqueId val="{00000038-3487-4833-A359-F5617B2C1DA5}"/>
              </c:ext>
            </c:extLst>
          </c:dPt>
          <c:val>
            <c:numRef>
              <c:f>Sheet2!$V$2:$V$33</c:f>
              <c:numCache>
                <c:formatCode>General</c:formatCode>
                <c:ptCount val="32"/>
                <c:pt idx="0">
                  <c:v>0.3</c:v>
                </c:pt>
                <c:pt idx="1">
                  <c:v>1.5</c:v>
                </c:pt>
                <c:pt idx="2">
                  <c:v>0.16</c:v>
                </c:pt>
                <c:pt idx="3">
                  <c:v>2.0</c:v>
                </c:pt>
                <c:pt idx="4">
                  <c:v>0.520000000000001</c:v>
                </c:pt>
                <c:pt idx="5">
                  <c:v>2.5</c:v>
                </c:pt>
                <c:pt idx="6">
                  <c:v>2.038</c:v>
                </c:pt>
                <c:pt idx="7">
                  <c:v>1.5</c:v>
                </c:pt>
                <c:pt idx="8">
                  <c:v>0.0499999999999998</c:v>
                </c:pt>
                <c:pt idx="9">
                  <c:v>0.2</c:v>
                </c:pt>
                <c:pt idx="10">
                  <c:v>0.73</c:v>
                </c:pt>
                <c:pt idx="11">
                  <c:v>1.5</c:v>
                </c:pt>
                <c:pt idx="12">
                  <c:v>0.0800000000000001</c:v>
                </c:pt>
                <c:pt idx="13">
                  <c:v>0.0899999999999999</c:v>
                </c:pt>
                <c:pt idx="14">
                  <c:v>4.43</c:v>
                </c:pt>
                <c:pt idx="15">
                  <c:v>0.04</c:v>
                </c:pt>
                <c:pt idx="16">
                  <c:v>1.603333333333333</c:v>
                </c:pt>
                <c:pt idx="17">
                  <c:v>2.0</c:v>
                </c:pt>
                <c:pt idx="18">
                  <c:v>0.13</c:v>
                </c:pt>
                <c:pt idx="19">
                  <c:v>1.0</c:v>
                </c:pt>
                <c:pt idx="20">
                  <c:v>0.0600000000000001</c:v>
                </c:pt>
                <c:pt idx="21">
                  <c:v>0.0800000000000001</c:v>
                </c:pt>
                <c:pt idx="22">
                  <c:v>0.0299999999999998</c:v>
                </c:pt>
                <c:pt idx="23">
                  <c:v>0.0</c:v>
                </c:pt>
                <c:pt idx="24">
                  <c:v>1.0</c:v>
                </c:pt>
                <c:pt idx="25">
                  <c:v>0.25</c:v>
                </c:pt>
                <c:pt idx="26">
                  <c:v>0.218</c:v>
                </c:pt>
                <c:pt idx="27">
                  <c:v>2.0</c:v>
                </c:pt>
                <c:pt idx="28">
                  <c:v>0.17</c:v>
                </c:pt>
                <c:pt idx="29">
                  <c:v>0.470000000000001</c:v>
                </c:pt>
                <c:pt idx="30">
                  <c:v>2.3375</c:v>
                </c:pt>
                <c:pt idx="31">
                  <c:v>1.5</c:v>
                </c:pt>
              </c:numCache>
            </c:numRef>
          </c:val>
          <c:extLst xmlns:c16r2="http://schemas.microsoft.com/office/drawing/2015/06/chart">
            <c:ext xmlns:c16="http://schemas.microsoft.com/office/drawing/2014/chart" uri="{C3380CC4-5D6E-409C-BE32-E72D297353CC}">
              <c16:uniqueId val="{00000039-3487-4833-A359-F5617B2C1DA5}"/>
            </c:ext>
          </c:extLst>
        </c:ser>
        <c:dLbls>
          <c:showLegendKey val="0"/>
          <c:showVal val="0"/>
          <c:showCatName val="0"/>
          <c:showSerName val="0"/>
          <c:showPercent val="0"/>
          <c:showBubbleSize val="0"/>
        </c:dLbls>
        <c:gapWidth val="150"/>
        <c:overlap val="100"/>
        <c:axId val="-2045099368"/>
        <c:axId val="-2083263128"/>
      </c:barChart>
      <c:catAx>
        <c:axId val="-2045099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83263128"/>
        <c:crosses val="autoZero"/>
        <c:auto val="1"/>
        <c:lblAlgn val="ctr"/>
        <c:lblOffset val="100"/>
        <c:noMultiLvlLbl val="0"/>
      </c:catAx>
      <c:valAx>
        <c:axId val="-20832631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600">
                    <a:solidFill>
                      <a:sysClr val="windowText" lastClr="000000"/>
                    </a:solidFill>
                    <a:latin typeface="Arial" panose="020B0604020202020204" pitchFamily="34" charset="0"/>
                    <a:cs typeface="Arial" panose="020B0604020202020204" pitchFamily="34" charset="0"/>
                  </a:rPr>
                  <a:t>Percentage Beta Acid/Dry</a:t>
                </a:r>
                <a:r>
                  <a:rPr lang="en-US" sz="1600" baseline="0">
                    <a:solidFill>
                      <a:sysClr val="windowText" lastClr="000000"/>
                    </a:solidFill>
                    <a:latin typeface="Arial" panose="020B0604020202020204" pitchFamily="34" charset="0"/>
                    <a:cs typeface="Arial" panose="020B0604020202020204" pitchFamily="34" charset="0"/>
                  </a:rPr>
                  <a:t> Weight</a:t>
                </a:r>
                <a:endParaRPr lang="en-US" sz="1600">
                  <a:solidFill>
                    <a:sysClr val="windowText" lastClr="000000"/>
                  </a:solidFill>
                  <a:latin typeface="Arial" panose="020B0604020202020204" pitchFamily="34" charset="0"/>
                  <a:cs typeface="Arial" panose="020B0604020202020204" pitchFamily="3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45099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444911715581"/>
          <c:y val="0.092436155211059"/>
          <c:w val="0.897371748985922"/>
          <c:h val="0.806903500533931"/>
        </c:manualLayout>
      </c:layout>
      <c:barChart>
        <c:barDir val="col"/>
        <c:grouping val="clustered"/>
        <c:varyColors val="0"/>
        <c:ser>
          <c:idx val="0"/>
          <c:order val="0"/>
          <c:tx>
            <c:strRef>
              <c:f>Sheet1!$I$1</c:f>
              <c:strCache>
                <c:ptCount val="1"/>
                <c:pt idx="0">
                  <c:v>Avg. Wet Weight </c:v>
                </c:pt>
              </c:strCache>
            </c:strRef>
          </c:tx>
          <c:spPr>
            <a:solidFill>
              <a:srgbClr val="FF0000"/>
            </a:solidFill>
            <a:ln>
              <a:solidFill>
                <a:srgbClr val="FF0000"/>
              </a:solidFill>
            </a:ln>
            <a:effectLst/>
          </c:spPr>
          <c:invertIfNegative val="0"/>
          <c:errBars>
            <c:errBarType val="both"/>
            <c:errValType val="cust"/>
            <c:noEndCap val="0"/>
            <c:plus>
              <c:numRef>
                <c:f>Sheet1!$J$2:$J$13</c:f>
                <c:numCache>
                  <c:formatCode>General</c:formatCode>
                  <c:ptCount val="12"/>
                  <c:pt idx="0">
                    <c:v>5.863198645478756</c:v>
                  </c:pt>
                  <c:pt idx="1">
                    <c:v>5.26574542760895</c:v>
                  </c:pt>
                  <c:pt idx="2">
                    <c:v>1.434108185329546</c:v>
                  </c:pt>
                  <c:pt idx="3">
                    <c:v>0.349432970599129</c:v>
                  </c:pt>
                  <c:pt idx="4">
                    <c:v>0.0275578052522971</c:v>
                  </c:pt>
                  <c:pt idx="5">
                    <c:v>0.088184976807351</c:v>
                  </c:pt>
                  <c:pt idx="6">
                    <c:v>0.793664791266158</c:v>
                  </c:pt>
                  <c:pt idx="8">
                    <c:v>0.114640469849556</c:v>
                  </c:pt>
                  <c:pt idx="9">
                    <c:v>0.0</c:v>
                  </c:pt>
                </c:numCache>
              </c:numRef>
            </c:plus>
            <c:minus>
              <c:numRef>
                <c:f>Sheet1!$J$2:$J$13</c:f>
                <c:numCache>
                  <c:formatCode>General</c:formatCode>
                  <c:ptCount val="12"/>
                  <c:pt idx="0">
                    <c:v>5.863198645478756</c:v>
                  </c:pt>
                  <c:pt idx="1">
                    <c:v>5.26574542760895</c:v>
                  </c:pt>
                  <c:pt idx="2">
                    <c:v>1.434108185329546</c:v>
                  </c:pt>
                  <c:pt idx="3">
                    <c:v>0.349432970599129</c:v>
                  </c:pt>
                  <c:pt idx="4">
                    <c:v>0.0275578052522971</c:v>
                  </c:pt>
                  <c:pt idx="5">
                    <c:v>0.088184976807351</c:v>
                  </c:pt>
                  <c:pt idx="6">
                    <c:v>0.793664791266158</c:v>
                  </c:pt>
                  <c:pt idx="8">
                    <c:v>0.114640469849556</c:v>
                  </c:pt>
                  <c:pt idx="9">
                    <c:v>0.0</c:v>
                  </c:pt>
                </c:numCache>
              </c:numRef>
            </c:minus>
            <c:spPr>
              <a:noFill/>
              <a:ln w="9525" cap="flat" cmpd="sng" algn="ctr">
                <a:solidFill>
                  <a:schemeClr val="tx1">
                    <a:lumMod val="65000"/>
                    <a:lumOff val="35000"/>
                  </a:schemeClr>
                </a:solidFill>
                <a:round/>
              </a:ln>
              <a:effectLst/>
            </c:spPr>
          </c:errBars>
          <c:cat>
            <c:strRef>
              <c:f>Sheet1!$H$2:$H$11</c:f>
              <c:strCache>
                <c:ptCount val="10"/>
                <c:pt idx="0">
                  <c:v>Chinook</c:v>
                </c:pt>
                <c:pt idx="1">
                  <c:v>Nugget</c:v>
                </c:pt>
                <c:pt idx="2">
                  <c:v>Cascade</c:v>
                </c:pt>
                <c:pt idx="3">
                  <c:v>Newport</c:v>
                </c:pt>
                <c:pt idx="4">
                  <c:v>Sorachi Ace</c:v>
                </c:pt>
                <c:pt idx="5">
                  <c:v>Centennial</c:v>
                </c:pt>
                <c:pt idx="6">
                  <c:v>Wilamette</c:v>
                </c:pt>
                <c:pt idx="7">
                  <c:v>Mt. Hood</c:v>
                </c:pt>
                <c:pt idx="8">
                  <c:v>Ultra</c:v>
                </c:pt>
                <c:pt idx="9">
                  <c:v>Saaz</c:v>
                </c:pt>
              </c:strCache>
            </c:strRef>
          </c:cat>
          <c:val>
            <c:numRef>
              <c:f>Sheet1!$I$2:$I$11</c:f>
              <c:numCache>
                <c:formatCode>General</c:formatCode>
                <c:ptCount val="10"/>
                <c:pt idx="0">
                  <c:v>21.86215806275243</c:v>
                </c:pt>
                <c:pt idx="1">
                  <c:v>11.83332157533643</c:v>
                </c:pt>
                <c:pt idx="2">
                  <c:v>9.040062434963579</c:v>
                </c:pt>
                <c:pt idx="3">
                  <c:v>6.491516605231134</c:v>
                </c:pt>
                <c:pt idx="4">
                  <c:v>5.832333903596183</c:v>
                </c:pt>
                <c:pt idx="5">
                  <c:v>5.072840790842872</c:v>
                </c:pt>
                <c:pt idx="6">
                  <c:v>4.043281186617048</c:v>
                </c:pt>
                <c:pt idx="7">
                  <c:v>3.836046491119772</c:v>
                </c:pt>
                <c:pt idx="8">
                  <c:v>2.482407097126934</c:v>
                </c:pt>
                <c:pt idx="9">
                  <c:v>0.0</c:v>
                </c:pt>
              </c:numCache>
            </c:numRef>
          </c:val>
          <c:extLst xmlns:c16r2="http://schemas.microsoft.com/office/drawing/2015/06/chart">
            <c:ext xmlns:c16="http://schemas.microsoft.com/office/drawing/2014/chart" uri="{C3380CC4-5D6E-409C-BE32-E72D297353CC}">
              <c16:uniqueId val="{00000000-35C6-4830-A37A-CE4F91F96EE5}"/>
            </c:ext>
          </c:extLst>
        </c:ser>
        <c:dLbls>
          <c:showLegendKey val="0"/>
          <c:showVal val="0"/>
          <c:showCatName val="0"/>
          <c:showSerName val="0"/>
          <c:showPercent val="0"/>
          <c:showBubbleSize val="0"/>
        </c:dLbls>
        <c:gapWidth val="219"/>
        <c:overlap val="-27"/>
        <c:axId val="-2029372904"/>
        <c:axId val="-2033918984"/>
      </c:barChart>
      <c:catAx>
        <c:axId val="-2029372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0">
                    <a:solidFill>
                      <a:schemeClr val="tx1"/>
                    </a:solidFill>
                    <a:latin typeface="Arial" panose="020B0604020202020204" pitchFamily="34" charset="0"/>
                    <a:cs typeface="Arial" panose="020B0604020202020204" pitchFamily="34" charset="0"/>
                  </a:rPr>
                  <a:t>Variety</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33918984"/>
        <c:crosses val="autoZero"/>
        <c:auto val="1"/>
        <c:lblAlgn val="ctr"/>
        <c:lblOffset val="100"/>
        <c:noMultiLvlLbl val="0"/>
      </c:catAx>
      <c:valAx>
        <c:axId val="-2033918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solidFill>
                      <a:sysClr val="windowText" lastClr="000000"/>
                    </a:solidFill>
                    <a:latin typeface="Arial" panose="020B0604020202020204" pitchFamily="34" charset="0"/>
                    <a:cs typeface="Arial" panose="020B0604020202020204" pitchFamily="34" charset="0"/>
                  </a:rPr>
                  <a:t>Fresh Weight </a:t>
                </a:r>
                <a:r>
                  <a:rPr lang="en-US" sz="1400" baseline="0">
                    <a:solidFill>
                      <a:sysClr val="windowText" lastClr="000000"/>
                    </a:solidFill>
                    <a:latin typeface="Arial" panose="020B0604020202020204" pitchFamily="34" charset="0"/>
                    <a:cs typeface="Arial" panose="020B0604020202020204" pitchFamily="34" charset="0"/>
                  </a:rPr>
                  <a:t>(pounds</a:t>
                </a:r>
                <a:r>
                  <a:rPr lang="en-US" baseline="0">
                    <a:solidFill>
                      <a:sysClr val="windowText" lastClr="000000"/>
                    </a:solidFill>
                    <a:latin typeface="Arial" panose="020B0604020202020204" pitchFamily="34" charset="0"/>
                    <a:cs typeface="Arial" panose="020B0604020202020204" pitchFamily="34" charset="0"/>
                  </a:rPr>
                  <a:t>)</a:t>
                </a:r>
                <a:endParaRPr lang="en-US">
                  <a:solidFill>
                    <a:sysClr val="windowText" lastClr="000000"/>
                  </a:solidFill>
                  <a:latin typeface="Arial" panose="020B0604020202020204" pitchFamily="34" charset="0"/>
                  <a:cs typeface="Arial" panose="020B0604020202020204" pitchFamily="3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29372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Words>
  <Characters>555</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Nora Muehlbauer</cp:lastModifiedBy>
  <cp:revision>2</cp:revision>
  <dcterms:created xsi:type="dcterms:W3CDTF">2016-12-31T21:28:00Z</dcterms:created>
  <dcterms:modified xsi:type="dcterms:W3CDTF">2016-12-31T21:28:00Z</dcterms:modified>
</cp:coreProperties>
</file>