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C495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b/>
          <w:bCs/>
          <w:color w:val="000000"/>
          <w:sz w:val="28"/>
          <w:szCs w:val="28"/>
        </w:rPr>
        <w:t xml:space="preserve">SARE - </w:t>
      </w:r>
      <w:proofErr w:type="spellStart"/>
      <w:r w:rsidRPr="00724075">
        <w:rPr>
          <w:rFonts w:ascii="Arial" w:hAnsi="Arial" w:cs="Arial"/>
          <w:b/>
          <w:bCs/>
          <w:color w:val="000000"/>
          <w:sz w:val="28"/>
          <w:szCs w:val="28"/>
        </w:rPr>
        <w:t>Grossman_Figures</w:t>
      </w:r>
      <w:proofErr w:type="spellEnd"/>
      <w:r w:rsidRPr="00724075">
        <w:rPr>
          <w:rFonts w:ascii="Arial" w:hAnsi="Arial" w:cs="Arial"/>
          <w:b/>
          <w:bCs/>
          <w:color w:val="000000"/>
          <w:sz w:val="28"/>
          <w:szCs w:val="28"/>
        </w:rPr>
        <w:t xml:space="preserve"> and Tables Y2</w:t>
      </w:r>
    </w:p>
    <w:p w14:paraId="79275839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b/>
          <w:bCs/>
          <w:color w:val="000000"/>
          <w:sz w:val="20"/>
          <w:szCs w:val="20"/>
        </w:rPr>
        <w:t>Preliminary data; do not cite</w:t>
      </w:r>
    </w:p>
    <w:p w14:paraId="75708993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795ACACE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drawing>
          <wp:inline distT="0" distB="0" distL="0" distR="0" wp14:anchorId="5E22058A" wp14:editId="5A3B682E">
            <wp:extent cx="5946140" cy="5141595"/>
            <wp:effectExtent l="0" t="0" r="0" b="0"/>
            <wp:docPr id="14" name="Picture 14" descr="https://lh5.googleusercontent.com/M6pDqBAGhx8NCUXamfZd7B0y8B4krBbJtClkB3y0oItNhEc9J2aP6YD8Iy-jnizT24iYSpuvQl3y8OgZZ0a0Ec3Q5zurKX438n91P4gGB2mtcDHGZ8hmzqRdXvZtWYxHxaBg2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6pDqBAGhx8NCUXamfZd7B0y8B4krBbJtClkB3y0oItNhEc9J2aP6YD8Iy-jnizT24iYSpuvQl3y8OgZZ0a0Ec3Q5zurKX438n91P4gGB2mtcDHGZ8hmzqRdXvZtWYxHxaBg2C3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51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2B29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>Fig. 1 Cover crop biomass (legume spp. and/or rye) in Grand Rapids, MN, kg/ha, Error bars = standard error</w:t>
      </w:r>
    </w:p>
    <w:p w14:paraId="7F3B9424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2BAF1786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lastRenderedPageBreak/>
        <w:drawing>
          <wp:inline distT="0" distB="0" distL="0" distR="0" wp14:anchorId="34189FE0" wp14:editId="2FBA352F">
            <wp:extent cx="5946140" cy="5114290"/>
            <wp:effectExtent l="0" t="0" r="0" b="0"/>
            <wp:docPr id="13" name="Picture 13" descr="https://lh5.googleusercontent.com/ZF0pD0MkYIAfSg26ph5Aqol1u9zGuPYsUugJw8wBdiOVViAttQ-fbubPfDJN1pwSzTz_bCD6052ND6_kkvWyxuNE8sOvM3B7lFNIfiPfnzyXfdOMr33djWxdWcxxjt-3vbVhLC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ZF0pD0MkYIAfSg26ph5Aqol1u9zGuPYsUugJw8wBdiOVViAttQ-fbubPfDJN1pwSzTz_bCD6052ND6_kkvWyxuNE8sOvM3B7lFNIfiPfnzyXfdOMr33djWxdWcxxjt-3vbVhLC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3FA0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 xml:space="preserve">Fig. 2 Cover crop biomass (legume spp. and/or rye) in </w:t>
      </w:r>
      <w:proofErr w:type="spellStart"/>
      <w:r w:rsidRPr="00724075">
        <w:rPr>
          <w:rFonts w:ascii="Calibri" w:hAnsi="Calibri" w:cs="Times New Roman"/>
          <w:color w:val="000000"/>
        </w:rPr>
        <w:t>Lamberton</w:t>
      </w:r>
      <w:proofErr w:type="spellEnd"/>
      <w:r w:rsidRPr="00724075">
        <w:rPr>
          <w:rFonts w:ascii="Calibri" w:hAnsi="Calibri" w:cs="Times New Roman"/>
          <w:color w:val="000000"/>
        </w:rPr>
        <w:t>, MN, kg/ha, Error bars = standard error</w:t>
      </w:r>
    </w:p>
    <w:p w14:paraId="1163D610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drawing>
          <wp:inline distT="0" distB="0" distL="0" distR="0" wp14:anchorId="159719A1" wp14:editId="60BEE8E3">
            <wp:extent cx="5705475" cy="4982845"/>
            <wp:effectExtent l="0" t="0" r="9525" b="0"/>
            <wp:docPr id="12" name="Picture 12" descr="https://lh5.googleusercontent.com/OyosTVj17irFyPVPM54wWrtdYpvATtnFeak3sp02byhgBHGZEoi9A-UFqPpeATxi6-Rf8Fgwwj-E2Wz4-9TNCYnj48aNCKVjnuQ4hRgG1tryZo5LvjlQeJ9L15TojyTe7oUHc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OyosTVj17irFyPVPM54wWrtdYpvATtnFeak3sp02byhgBHGZEoi9A-UFqPpeATxi6-Rf8Fgwwj-E2Wz4-9TNCYnj48aNCKVjnuQ4hRgG1tryZo5LvjlQeJ9L15TojyTe7oUHcra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DDE2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 xml:space="preserve">Fig. 3 Potentially </w:t>
      </w:r>
      <w:proofErr w:type="spellStart"/>
      <w:r w:rsidRPr="00724075">
        <w:rPr>
          <w:rFonts w:ascii="Calibri" w:hAnsi="Calibri" w:cs="Times New Roman"/>
          <w:color w:val="000000"/>
        </w:rPr>
        <w:t>mineralizable</w:t>
      </w:r>
      <w:proofErr w:type="spellEnd"/>
      <w:r w:rsidRPr="00724075">
        <w:rPr>
          <w:rFonts w:ascii="Calibri" w:hAnsi="Calibri" w:cs="Times New Roman"/>
          <w:color w:val="000000"/>
        </w:rPr>
        <w:t xml:space="preserve"> nitrogen (NH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4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 xml:space="preserve">+ </w:t>
      </w:r>
      <w:r w:rsidRPr="00724075">
        <w:rPr>
          <w:rFonts w:ascii="Calibri" w:hAnsi="Calibri" w:cs="Times New Roman"/>
          <w:color w:val="000000"/>
        </w:rPr>
        <w:t>and NO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3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>-</w:t>
      </w:r>
      <w:r w:rsidRPr="00724075">
        <w:rPr>
          <w:rFonts w:ascii="Calibri" w:hAnsi="Calibri" w:cs="Times New Roman"/>
          <w:color w:val="000000"/>
        </w:rPr>
        <w:t>), before cover crop termination (preterm) and two weeks after termination (</w:t>
      </w:r>
      <w:proofErr w:type="spellStart"/>
      <w:r w:rsidRPr="00724075">
        <w:rPr>
          <w:rFonts w:ascii="Calibri" w:hAnsi="Calibri" w:cs="Times New Roman"/>
          <w:color w:val="000000"/>
        </w:rPr>
        <w:t>postterm</w:t>
      </w:r>
      <w:proofErr w:type="spellEnd"/>
      <w:r w:rsidRPr="00724075">
        <w:rPr>
          <w:rFonts w:ascii="Calibri" w:hAnsi="Calibri" w:cs="Times New Roman"/>
          <w:color w:val="000000"/>
        </w:rPr>
        <w:t xml:space="preserve">), </w:t>
      </w:r>
      <w:proofErr w:type="spellStart"/>
      <w:r w:rsidRPr="00724075">
        <w:rPr>
          <w:rFonts w:ascii="Calibri" w:hAnsi="Calibri" w:cs="Times New Roman"/>
          <w:color w:val="000000"/>
        </w:rPr>
        <w:t>Lamberton</w:t>
      </w:r>
      <w:proofErr w:type="spellEnd"/>
      <w:r w:rsidRPr="00724075">
        <w:rPr>
          <w:rFonts w:ascii="Calibri" w:hAnsi="Calibri" w:cs="Times New Roman"/>
          <w:color w:val="000000"/>
        </w:rPr>
        <w:t>, MN experimental site.  Error bars = standard error</w:t>
      </w:r>
    </w:p>
    <w:p w14:paraId="34A7F82D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drawing>
          <wp:inline distT="0" distB="0" distL="0" distR="0" wp14:anchorId="16F93D89" wp14:editId="72BA67EA">
            <wp:extent cx="5705475" cy="4982845"/>
            <wp:effectExtent l="0" t="0" r="9525" b="0"/>
            <wp:docPr id="11" name="Picture 11" descr="https://lh5.googleusercontent.com/QeEozeLDYIMqoTGhl95swbhBzhx3fpS6ua5xpiFHUnC1eSwW59bW-5caa5Ak8HYRYM7-zgRzSBHd2td3KPxfMhpBKcYB4JaZQofrh32VbI8dDbR4o83DWOGgEAy7IXZ3V00OLZ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QeEozeLDYIMqoTGhl95swbhBzhx3fpS6ua5xpiFHUnC1eSwW59bW-5caa5Ak8HYRYM7-zgRzSBHd2td3KPxfMhpBKcYB4JaZQofrh32VbI8dDbR4o83DWOGgEAy7IXZ3V00OLZ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9E5B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 xml:space="preserve">Fig. 4 Potentially </w:t>
      </w:r>
      <w:proofErr w:type="spellStart"/>
      <w:r w:rsidRPr="00724075">
        <w:rPr>
          <w:rFonts w:ascii="Calibri" w:hAnsi="Calibri" w:cs="Times New Roman"/>
          <w:color w:val="000000"/>
        </w:rPr>
        <w:t>mineralizable</w:t>
      </w:r>
      <w:proofErr w:type="spellEnd"/>
      <w:r w:rsidRPr="00724075">
        <w:rPr>
          <w:rFonts w:ascii="Calibri" w:hAnsi="Calibri" w:cs="Times New Roman"/>
          <w:color w:val="000000"/>
        </w:rPr>
        <w:t xml:space="preserve"> nitrogen (NH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4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 xml:space="preserve">+ </w:t>
      </w:r>
      <w:r w:rsidRPr="00724075">
        <w:rPr>
          <w:rFonts w:ascii="Calibri" w:hAnsi="Calibri" w:cs="Times New Roman"/>
          <w:color w:val="000000"/>
        </w:rPr>
        <w:t>and NO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3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>-</w:t>
      </w:r>
      <w:r w:rsidRPr="00724075">
        <w:rPr>
          <w:rFonts w:ascii="Calibri" w:hAnsi="Calibri" w:cs="Times New Roman"/>
          <w:color w:val="000000"/>
        </w:rPr>
        <w:t>), before cover crop termination (preterm) and two weeks after termination (</w:t>
      </w:r>
      <w:proofErr w:type="spellStart"/>
      <w:r w:rsidRPr="00724075">
        <w:rPr>
          <w:rFonts w:ascii="Calibri" w:hAnsi="Calibri" w:cs="Times New Roman"/>
          <w:color w:val="000000"/>
        </w:rPr>
        <w:t>postterm</w:t>
      </w:r>
      <w:proofErr w:type="spellEnd"/>
      <w:r w:rsidRPr="00724075">
        <w:rPr>
          <w:rFonts w:ascii="Calibri" w:hAnsi="Calibri" w:cs="Times New Roman"/>
          <w:color w:val="000000"/>
        </w:rPr>
        <w:t>), Grand Rapids, MN experimental site.  Error bars = standard error</w:t>
      </w:r>
    </w:p>
    <w:p w14:paraId="390FD1E4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drawing>
          <wp:inline distT="0" distB="0" distL="0" distR="0" wp14:anchorId="74317038" wp14:editId="27AB0A0F">
            <wp:extent cx="5705475" cy="4982845"/>
            <wp:effectExtent l="0" t="0" r="9525" b="0"/>
            <wp:docPr id="10" name="Picture 10" descr="https://lh6.googleusercontent.com/U873JaXXbJni_vNFaf_btwmhTDhLYx3Zp3GY8t1b_lDXDIS2Boy9s1Y63m8lXiOvSXiM7FiNdWADJ3vo7ZkIcZop-Dhv27Gf9GM0OFO3YY-OIIdbwgdKBRe7gR79-Kqcf0b5oG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U873JaXXbJni_vNFaf_btwmhTDhLYx3Zp3GY8t1b_lDXDIS2Boy9s1Y63m8lXiOvSXiM7FiNdWADJ3vo7ZkIcZop-Dhv27Gf9GM0OFO3YY-OIIdbwgdKBRe7gR79-Kqcf0b5oG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E096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>Fig. 5 Extractable nitrogen (NH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4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 xml:space="preserve">+ </w:t>
      </w:r>
      <w:r w:rsidRPr="00724075">
        <w:rPr>
          <w:rFonts w:ascii="Calibri" w:hAnsi="Calibri" w:cs="Times New Roman"/>
          <w:color w:val="000000"/>
        </w:rPr>
        <w:t>and NO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3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>-</w:t>
      </w:r>
      <w:r w:rsidRPr="00724075">
        <w:rPr>
          <w:rFonts w:ascii="Calibri" w:hAnsi="Calibri" w:cs="Times New Roman"/>
          <w:color w:val="000000"/>
        </w:rPr>
        <w:t>), before cover crop termination (preterm) and two weeks after termination (</w:t>
      </w:r>
      <w:proofErr w:type="spellStart"/>
      <w:r w:rsidRPr="00724075">
        <w:rPr>
          <w:rFonts w:ascii="Calibri" w:hAnsi="Calibri" w:cs="Times New Roman"/>
          <w:color w:val="000000"/>
        </w:rPr>
        <w:t>postterm</w:t>
      </w:r>
      <w:proofErr w:type="spellEnd"/>
      <w:r w:rsidRPr="00724075">
        <w:rPr>
          <w:rFonts w:ascii="Calibri" w:hAnsi="Calibri" w:cs="Times New Roman"/>
          <w:color w:val="000000"/>
        </w:rPr>
        <w:t xml:space="preserve">), </w:t>
      </w:r>
      <w:proofErr w:type="spellStart"/>
      <w:r w:rsidRPr="00724075">
        <w:rPr>
          <w:rFonts w:ascii="Calibri" w:hAnsi="Calibri" w:cs="Times New Roman"/>
          <w:color w:val="000000"/>
        </w:rPr>
        <w:t>Lamberton</w:t>
      </w:r>
      <w:proofErr w:type="spellEnd"/>
      <w:r w:rsidRPr="00724075">
        <w:rPr>
          <w:rFonts w:ascii="Calibri" w:hAnsi="Calibri" w:cs="Times New Roman"/>
          <w:color w:val="000000"/>
        </w:rPr>
        <w:t>, MN experimental site.  Error bars = standard error</w:t>
      </w:r>
    </w:p>
    <w:p w14:paraId="5CFB9C47" w14:textId="77777777" w:rsidR="00724075" w:rsidRPr="00724075" w:rsidRDefault="00724075" w:rsidP="00724075">
      <w:pPr>
        <w:spacing w:after="240"/>
        <w:rPr>
          <w:rFonts w:ascii="Times New Roman" w:eastAsia="Times New Roman" w:hAnsi="Times New Roman" w:cs="Times New Roman"/>
        </w:rPr>
      </w:pPr>
      <w:r w:rsidRPr="00724075">
        <w:rPr>
          <w:rFonts w:ascii="Times New Roman" w:eastAsia="Times New Roman" w:hAnsi="Times New Roman" w:cs="Times New Roman"/>
        </w:rPr>
        <w:br/>
      </w:r>
    </w:p>
    <w:p w14:paraId="3BA73C11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drawing>
          <wp:inline distT="0" distB="0" distL="0" distR="0" wp14:anchorId="67ADA2B6" wp14:editId="0B4801FA">
            <wp:extent cx="5705475" cy="4982845"/>
            <wp:effectExtent l="0" t="0" r="9525" b="0"/>
            <wp:docPr id="9" name="Picture 9" descr="https://lh4.googleusercontent.com/5F11Mx0o-3ynnZ9_RLRIQquWn3d2Brw6fAcv-GPpFIndhj5riC8RBBaRnD4Eqx-Qhk2F1mlvMA_otMhuQKsthttsKQ71p2uy5SuCfHjc7XpA7nb4BtguAAN4gGrikFuiwqgb6k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5F11Mx0o-3ynnZ9_RLRIQquWn3d2Brw6fAcv-GPpFIndhj5riC8RBBaRnD4Eqx-Qhk2F1mlvMA_otMhuQKsthttsKQ71p2uy5SuCfHjc7XpA7nb4BtguAAN4gGrikFuiwqgb6k0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1DB6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>Fig. 6 Extractable nitrogen (NH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4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 xml:space="preserve">+ </w:t>
      </w:r>
      <w:r w:rsidRPr="00724075">
        <w:rPr>
          <w:rFonts w:ascii="Calibri" w:hAnsi="Calibri" w:cs="Times New Roman"/>
          <w:color w:val="000000"/>
        </w:rPr>
        <w:t>and NO</w:t>
      </w:r>
      <w:r w:rsidRPr="00724075">
        <w:rPr>
          <w:rFonts w:ascii="Calibri" w:hAnsi="Calibri" w:cs="Times New Roman"/>
          <w:color w:val="000000"/>
          <w:sz w:val="14"/>
          <w:szCs w:val="14"/>
          <w:vertAlign w:val="subscript"/>
        </w:rPr>
        <w:t>3</w:t>
      </w:r>
      <w:r w:rsidRPr="00724075">
        <w:rPr>
          <w:rFonts w:ascii="Calibri" w:hAnsi="Calibri" w:cs="Times New Roman"/>
          <w:color w:val="000000"/>
          <w:sz w:val="14"/>
          <w:szCs w:val="14"/>
          <w:vertAlign w:val="superscript"/>
        </w:rPr>
        <w:t>-</w:t>
      </w:r>
      <w:r w:rsidRPr="00724075">
        <w:rPr>
          <w:rFonts w:ascii="Calibri" w:hAnsi="Calibri" w:cs="Times New Roman"/>
          <w:color w:val="000000"/>
        </w:rPr>
        <w:t>), before cover crop termination (preterm) and two weeks after termination (</w:t>
      </w:r>
      <w:proofErr w:type="spellStart"/>
      <w:r w:rsidRPr="00724075">
        <w:rPr>
          <w:rFonts w:ascii="Calibri" w:hAnsi="Calibri" w:cs="Times New Roman"/>
          <w:color w:val="000000"/>
        </w:rPr>
        <w:t>postterm</w:t>
      </w:r>
      <w:proofErr w:type="spellEnd"/>
      <w:r w:rsidRPr="00724075">
        <w:rPr>
          <w:rFonts w:ascii="Calibri" w:hAnsi="Calibri" w:cs="Times New Roman"/>
          <w:color w:val="000000"/>
        </w:rPr>
        <w:t>), Grand Rapids, MN experimental site.  Error bars = standard error</w:t>
      </w:r>
    </w:p>
    <w:p w14:paraId="4758982C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2CD2ADA5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drawing>
          <wp:inline distT="0" distB="0" distL="0" distR="0" wp14:anchorId="64808FD6" wp14:editId="331AF18A">
            <wp:extent cx="5705475" cy="4982845"/>
            <wp:effectExtent l="0" t="0" r="9525" b="0"/>
            <wp:docPr id="8" name="Picture 8" descr="https://lh4.googleusercontent.com/n6ArknFDbDa83oHpLN2W0sJ99hmObXkgK8sbeCdhUV4h1NI0t6WkdOWpRmZFdffRXVRyweQjYRMn094QsA60PJM2xNO5CA_ppF76BMmAJbfte01FkbJm7i7BxnxzL2lGuk_CZ_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n6ArknFDbDa83oHpLN2W0sJ99hmObXkgK8sbeCdhUV4h1NI0t6WkdOWpRmZFdffRXVRyweQjYRMn094QsA60PJM2xNO5CA_ppF76BMmAJbfte01FkbJm7i7BxnxzL2lGuk_CZ_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6EBB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 xml:space="preserve">Fig. 7 Permanganate </w:t>
      </w:r>
      <w:proofErr w:type="spellStart"/>
      <w:r w:rsidRPr="00724075">
        <w:rPr>
          <w:rFonts w:ascii="Calibri" w:hAnsi="Calibri" w:cs="Times New Roman"/>
          <w:color w:val="000000"/>
        </w:rPr>
        <w:t>oxidizable</w:t>
      </w:r>
      <w:proofErr w:type="spellEnd"/>
      <w:r w:rsidRPr="00724075">
        <w:rPr>
          <w:rFonts w:ascii="Calibri" w:hAnsi="Calibri" w:cs="Times New Roman"/>
          <w:color w:val="000000"/>
        </w:rPr>
        <w:t xml:space="preserve"> carbon (POX-C, mg C/kg soil), at 3 time points: fall pre-cover crop planting (fall), at cover crop termination (preterm) and two weeks after termination (</w:t>
      </w:r>
      <w:proofErr w:type="spellStart"/>
      <w:r w:rsidRPr="00724075">
        <w:rPr>
          <w:rFonts w:ascii="Calibri" w:hAnsi="Calibri" w:cs="Times New Roman"/>
          <w:color w:val="000000"/>
        </w:rPr>
        <w:t>postterm</w:t>
      </w:r>
      <w:proofErr w:type="spellEnd"/>
      <w:r w:rsidRPr="00724075">
        <w:rPr>
          <w:rFonts w:ascii="Calibri" w:hAnsi="Calibri" w:cs="Times New Roman"/>
          <w:color w:val="000000"/>
        </w:rPr>
        <w:t>), Grand Rapids, MN experimental site.  Error bars = standard error</w:t>
      </w:r>
    </w:p>
    <w:p w14:paraId="5A10C2F7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noProof/>
          <w:color w:val="000000"/>
        </w:rPr>
        <w:drawing>
          <wp:inline distT="0" distB="0" distL="0" distR="0" wp14:anchorId="2BB10B15" wp14:editId="4202F733">
            <wp:extent cx="5705475" cy="4982845"/>
            <wp:effectExtent l="0" t="0" r="9525" b="0"/>
            <wp:docPr id="7" name="Picture 7" descr="https://lh6.googleusercontent.com/NCvMhPPkWtF4_liji_LN1tKxCMG0KQ9ImN2CMOTjUR-C_Wpt5HDetzn-Yox6eqpk7MN0LvYHhzfL8E-654PB0Wy8D0YmfhGmrCIxBUQ-LXy_VH8n8c2tNWm3ZxMDSIRhHXh4uE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NCvMhPPkWtF4_liji_LN1tKxCMG0KQ9ImN2CMOTjUR-C_Wpt5HDetzn-Yox6eqpk7MN0LvYHhzfL8E-654PB0Wy8D0YmfhGmrCIxBUQ-LXy_VH8n8c2tNWm3ZxMDSIRhHXh4uEu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5F10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Calibri" w:hAnsi="Calibri" w:cs="Times New Roman"/>
          <w:color w:val="000000"/>
        </w:rPr>
        <w:t xml:space="preserve">Fig. 8 Permanganate </w:t>
      </w:r>
      <w:proofErr w:type="spellStart"/>
      <w:r w:rsidRPr="00724075">
        <w:rPr>
          <w:rFonts w:ascii="Calibri" w:hAnsi="Calibri" w:cs="Times New Roman"/>
          <w:color w:val="000000"/>
        </w:rPr>
        <w:t>oxidizable</w:t>
      </w:r>
      <w:proofErr w:type="spellEnd"/>
      <w:r w:rsidRPr="00724075">
        <w:rPr>
          <w:rFonts w:ascii="Calibri" w:hAnsi="Calibri" w:cs="Times New Roman"/>
          <w:color w:val="000000"/>
        </w:rPr>
        <w:t xml:space="preserve"> carbon (POX-C, mg C/kg soil), at 3 time points: fall pre-cover crop planting (fall), at cover crop termination (preterm) and two weeks after termination (</w:t>
      </w:r>
      <w:proofErr w:type="spellStart"/>
      <w:r w:rsidRPr="00724075">
        <w:rPr>
          <w:rFonts w:ascii="Calibri" w:hAnsi="Calibri" w:cs="Times New Roman"/>
          <w:color w:val="000000"/>
        </w:rPr>
        <w:t>postterm</w:t>
      </w:r>
      <w:proofErr w:type="spellEnd"/>
      <w:r w:rsidRPr="00724075">
        <w:rPr>
          <w:rFonts w:ascii="Calibri" w:hAnsi="Calibri" w:cs="Times New Roman"/>
          <w:color w:val="000000"/>
        </w:rPr>
        <w:t>), Grand Rapids, MN experimental site.  Error bars = standard error</w:t>
      </w:r>
    </w:p>
    <w:p w14:paraId="388FC0C7" w14:textId="77777777" w:rsidR="00724075" w:rsidRPr="00724075" w:rsidRDefault="00724075" w:rsidP="00724075">
      <w:pPr>
        <w:spacing w:after="240"/>
        <w:rPr>
          <w:rFonts w:ascii="Times New Roman" w:eastAsia="Times New Roman" w:hAnsi="Times New Roman" w:cs="Times New Roman"/>
        </w:rPr>
      </w:pP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</w:p>
    <w:p w14:paraId="7DE37592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6D23FD0" wp14:editId="4AE6D1B3">
            <wp:extent cx="4572000" cy="2753995"/>
            <wp:effectExtent l="0" t="0" r="0" b="0"/>
            <wp:docPr id="6" name="Picture 6" descr="https://lh6.googleusercontent.com/LtJUtV1puzU-CquZJ_MTyhg19vQwQPSehNm0gt05cTFh55MMBL_FF7AHSaSNpSRAwm9kvh9u5L2Eb1NtVj5Z5loupKub4jC88Uw01EifhD9u-JlclN7GJ9OX49ZOq4GtZ3iS5_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LtJUtV1puzU-CquZJ_MTyhg19vQwQPSehNm0gt05cTFh55MMBL_FF7AHSaSNpSRAwm9kvh9u5L2Eb1NtVj5Z5loupKub4jC88Uw01EifhD9u-JlclN7GJ9OX49ZOq4GtZ3iS5_Z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255BB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color w:val="000000"/>
          <w:sz w:val="22"/>
          <w:szCs w:val="22"/>
        </w:rPr>
        <w:t xml:space="preserve">Fig. 9 Cover crop aboveground biomass nitrogen (kg ha-1) at </w:t>
      </w:r>
      <w:proofErr w:type="spellStart"/>
      <w:r w:rsidRPr="00724075">
        <w:rPr>
          <w:rFonts w:ascii="Arial" w:hAnsi="Arial" w:cs="Arial"/>
          <w:color w:val="000000"/>
          <w:sz w:val="22"/>
          <w:szCs w:val="22"/>
        </w:rPr>
        <w:t>Lamberton</w:t>
      </w:r>
      <w:proofErr w:type="spellEnd"/>
      <w:r w:rsidRPr="00724075">
        <w:rPr>
          <w:rFonts w:ascii="Arial" w:hAnsi="Arial" w:cs="Arial"/>
          <w:color w:val="000000"/>
          <w:sz w:val="22"/>
          <w:szCs w:val="22"/>
        </w:rPr>
        <w:t xml:space="preserve"> in Y2.  Error bars = standard error.</w:t>
      </w:r>
    </w:p>
    <w:p w14:paraId="323FABCB" w14:textId="77777777" w:rsidR="00724075" w:rsidRPr="00724075" w:rsidRDefault="00724075" w:rsidP="00724075">
      <w:pPr>
        <w:spacing w:after="240"/>
        <w:rPr>
          <w:rFonts w:ascii="Times New Roman" w:eastAsia="Times New Roman" w:hAnsi="Times New Roman" w:cs="Times New Roman"/>
        </w:rPr>
      </w:pP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</w:p>
    <w:p w14:paraId="4FAE61D0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4079047" wp14:editId="0136BBE1">
            <wp:extent cx="4572000" cy="2753995"/>
            <wp:effectExtent l="0" t="0" r="0" b="0"/>
            <wp:docPr id="5" name="Picture 5" descr="https://lh6.googleusercontent.com/GaSCbhdQ0gOlRmie2nAuL6EykSlwfOZBOqQm_HlDv5Dv2iyUUezZizRmo-dbqg49IiMtzpe-9ch2Mw9GR-OC1-PR1xMRlXcBoNjGUwLRvuFn4fdnPEmXzCB-tV830MnOvRJV1g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GaSCbhdQ0gOlRmie2nAuL6EykSlwfOZBOqQm_HlDv5Dv2iyUUezZizRmo-dbqg49IiMtzpe-9ch2Mw9GR-OC1-PR1xMRlXcBoNjGUwLRvuFn4fdnPEmXzCB-tV830MnOvRJV1g4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44F2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color w:val="000000"/>
          <w:sz w:val="22"/>
          <w:szCs w:val="22"/>
        </w:rPr>
        <w:t>Fig. 10 Cover crop aboveground biomass nitrogen (kg ha-1) at Grand Rapids in Y2.  Error bars = standard error.</w:t>
      </w:r>
    </w:p>
    <w:p w14:paraId="2FC0F6B2" w14:textId="77777777" w:rsidR="00724075" w:rsidRPr="00724075" w:rsidRDefault="00724075" w:rsidP="00724075">
      <w:pPr>
        <w:spacing w:after="240"/>
        <w:rPr>
          <w:rFonts w:ascii="Times New Roman" w:eastAsia="Times New Roman" w:hAnsi="Times New Roman" w:cs="Times New Roman"/>
        </w:rPr>
      </w:pP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</w:p>
    <w:p w14:paraId="18C4CB08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BD2502D" wp14:editId="3E5A92FC">
            <wp:extent cx="4856480" cy="2693670"/>
            <wp:effectExtent l="0" t="0" r="0" b="0"/>
            <wp:docPr id="4" name="Picture 4" descr="https://lh4.googleusercontent.com/tQmUmcEx3KypY-0O3rbw5aQC2_V5N5pBeJOfw-FrFf3RMnSE4n3XR1P_yzcNYxa5tdxCP5HhezaO9RKBwDVnl2-bHH0c8c68kYnCgs9cT7nBP9PHemkINavlCm2LpWtfIEoAjk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tQmUmcEx3KypY-0O3rbw5aQC2_V5N5pBeJOfw-FrFf3RMnSE4n3XR1P_yzcNYxa5tdxCP5HhezaO9RKBwDVnl2-bHH0c8c68kYnCgs9cT7nBP9PHemkINavlCm2LpWtfIEoAjkp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DA681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30D99056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3C59B36" wp14:editId="3EE037B1">
            <wp:extent cx="4867910" cy="2693670"/>
            <wp:effectExtent l="0" t="0" r="8890" b="0"/>
            <wp:docPr id="3" name="Picture 3" descr="https://lh4.googleusercontent.com/w3-BUymu8iljZ4v2IsrjZUvvTmq4XIPYHeNfwXJX_UMv-5UqR73Jw-YoD6bWspmLUFbvRJmvBtY5-SVrbHZsT3v0DhrgLGbwVfM88SVPEv87m95A24SB7eJHEybjP1ps8iey2s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4.googleusercontent.com/w3-BUymu8iljZ4v2IsrjZUvvTmq4XIPYHeNfwXJX_UMv-5UqR73Jw-YoD6bWspmLUFbvRJmvBtY5-SVrbHZsT3v0DhrgLGbwVfM88SVPEv87m95A24SB7eJHEybjP1ps8iey2sN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F52E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2C04B98F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color w:val="000000"/>
          <w:sz w:val="22"/>
          <w:szCs w:val="22"/>
        </w:rPr>
        <w:t xml:space="preserve">Fig. 11 Average nodule number per plant at </w:t>
      </w:r>
      <w:proofErr w:type="spellStart"/>
      <w:r w:rsidRPr="00724075">
        <w:rPr>
          <w:rFonts w:ascii="Arial" w:hAnsi="Arial" w:cs="Arial"/>
          <w:color w:val="000000"/>
          <w:sz w:val="22"/>
          <w:szCs w:val="22"/>
        </w:rPr>
        <w:t>Lamberton</w:t>
      </w:r>
      <w:proofErr w:type="spellEnd"/>
      <w:r w:rsidRPr="00724075">
        <w:rPr>
          <w:rFonts w:ascii="Arial" w:hAnsi="Arial" w:cs="Arial"/>
          <w:color w:val="000000"/>
          <w:sz w:val="22"/>
          <w:szCs w:val="22"/>
        </w:rPr>
        <w:t xml:space="preserve"> and Grand Rapids in Y2.  Error bars = standard error.</w:t>
      </w:r>
    </w:p>
    <w:p w14:paraId="4C4F603D" w14:textId="77777777" w:rsidR="00724075" w:rsidRPr="00724075" w:rsidRDefault="00724075" w:rsidP="00724075">
      <w:pPr>
        <w:spacing w:after="240"/>
        <w:rPr>
          <w:rFonts w:ascii="Times New Roman" w:eastAsia="Times New Roman" w:hAnsi="Times New Roman" w:cs="Times New Roman"/>
        </w:rPr>
      </w:pP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</w:p>
    <w:p w14:paraId="1C2BF455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AC5494F" wp14:editId="3D9A2488">
            <wp:extent cx="4856480" cy="2693670"/>
            <wp:effectExtent l="0" t="0" r="0" b="0"/>
            <wp:docPr id="2" name="Picture 2" descr="https://lh5.googleusercontent.com/wjowyDb4rD3WDHaRq2GRoQ_FBYtIZKcSQ74QnMtOrWGxLakMoWOlbajJreEIHjLGYvehXN_R7Hzrl-JY1d85j4xBul8cMy3PTHSwdnALyIIjvI7fhSPgzs9ym51hVfeoHTudG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wjowyDb4rD3WDHaRq2GRoQ_FBYtIZKcSQ74QnMtOrWGxLakMoWOlbajJreEIHjLGYvehXN_R7Hzrl-JY1d85j4xBul8cMy3PTHSwdnALyIIjvI7fhSPgzs9ym51hVfeoHTudG4a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91122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57231E4A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D783E29" wp14:editId="68F5930B">
            <wp:extent cx="4856480" cy="2705100"/>
            <wp:effectExtent l="0" t="0" r="0" b="12700"/>
            <wp:docPr id="1" name="Picture 1" descr="https://lh6.googleusercontent.com/Geoc9-aVs37KEwX-qk6_0Psx6ch6QBIJ7wJPBTJDTrDc5I5Akdnlr7fxjWDjdOdKPopv925THJBE79YVSdXG3xP_-y-AhPTXCuhClmK0-X38SsBPnR0axf_2bnHftJxLAL0B5g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6.googleusercontent.com/Geoc9-aVs37KEwX-qk6_0Psx6ch6QBIJ7wJPBTJDTrDc5I5Akdnlr7fxjWDjdOdKPopv925THJBE79YVSdXG3xP_-y-AhPTXCuhClmK0-X38SsBPnR0axf_2bnHftJxLAL0B5gx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EE05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3DB140A9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color w:val="000000"/>
          <w:sz w:val="22"/>
          <w:szCs w:val="22"/>
        </w:rPr>
        <w:t xml:space="preserve">Fig. 12 Average nodule dry weight per plant at </w:t>
      </w:r>
      <w:proofErr w:type="spellStart"/>
      <w:r w:rsidRPr="00724075">
        <w:rPr>
          <w:rFonts w:ascii="Arial" w:hAnsi="Arial" w:cs="Arial"/>
          <w:color w:val="000000"/>
          <w:sz w:val="22"/>
          <w:szCs w:val="22"/>
        </w:rPr>
        <w:t>Lamberton</w:t>
      </w:r>
      <w:proofErr w:type="spellEnd"/>
      <w:r w:rsidRPr="00724075">
        <w:rPr>
          <w:rFonts w:ascii="Arial" w:hAnsi="Arial" w:cs="Arial"/>
          <w:color w:val="000000"/>
          <w:sz w:val="22"/>
          <w:szCs w:val="22"/>
        </w:rPr>
        <w:t xml:space="preserve"> and Grand Rapids in Y2.  Error bars = standard error.</w:t>
      </w:r>
    </w:p>
    <w:p w14:paraId="540A5D33" w14:textId="77777777" w:rsidR="00724075" w:rsidRDefault="00724075" w:rsidP="00724075">
      <w:pPr>
        <w:spacing w:after="240"/>
        <w:rPr>
          <w:rFonts w:ascii="Times New Roman" w:eastAsia="Times New Roman" w:hAnsi="Times New Roman" w:cs="Times New Roman"/>
        </w:rPr>
      </w:pP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</w:p>
    <w:p w14:paraId="2CA64425" w14:textId="77777777" w:rsidR="00724075" w:rsidRPr="00724075" w:rsidRDefault="00724075" w:rsidP="00724075">
      <w:pPr>
        <w:spacing w:after="24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  <w:r w:rsidRPr="00724075">
        <w:rPr>
          <w:rFonts w:ascii="Times New Roman" w:eastAsia="Times New Roman" w:hAnsi="Times New Roman" w:cs="Times New Roman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2788"/>
        <w:gridCol w:w="3136"/>
      </w:tblGrid>
      <w:tr w:rsidR="00724075" w:rsidRPr="00724075" w14:paraId="48874309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11863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13262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697B8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proofErr w:type="spellStart"/>
            <w:r w:rsidRPr="007240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NDfA</w:t>
            </w:r>
            <w:proofErr w:type="spellEnd"/>
            <w:r w:rsidRPr="007240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</w:tr>
      <w:tr w:rsidR="00724075" w:rsidRPr="00724075" w14:paraId="5F0914B1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39E45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proofErr w:type="spellStart"/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Lamberton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B630E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V1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3ED72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 xml:space="preserve">60.73 </w:t>
            </w:r>
            <w:r w:rsidRPr="0072407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5.44</w:t>
            </w:r>
          </w:p>
        </w:tc>
      </w:tr>
      <w:tr w:rsidR="00724075" w:rsidRPr="00724075" w14:paraId="693E2A38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BA1E4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proofErr w:type="spellStart"/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Lamberton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E8EA2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2986C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 xml:space="preserve">52.78 </w:t>
            </w:r>
            <w:r w:rsidRPr="0072407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4.33</w:t>
            </w:r>
          </w:p>
        </w:tc>
      </w:tr>
      <w:tr w:rsidR="00724075" w:rsidRPr="00724075" w14:paraId="26957CBE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8F06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proofErr w:type="spellStart"/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Lamberton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98323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V2 mix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8CB21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 xml:space="preserve">67.94 </w:t>
            </w:r>
            <w:r w:rsidRPr="0072407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2.43</w:t>
            </w:r>
          </w:p>
        </w:tc>
      </w:tr>
      <w:tr w:rsidR="00724075" w:rsidRPr="00724075" w14:paraId="11A7C868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F5100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proofErr w:type="spellStart"/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Lamberton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34DE2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proofErr w:type="spellStart"/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clo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FAB9F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 xml:space="preserve">60.41 </w:t>
            </w:r>
            <w:r w:rsidRPr="0072407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3.24</w:t>
            </w:r>
          </w:p>
        </w:tc>
      </w:tr>
      <w:tr w:rsidR="00724075" w:rsidRPr="00724075" w14:paraId="6AB811A1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008DB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Grand Rapids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0B9EA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V1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8FF53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[pending]</w:t>
            </w:r>
          </w:p>
        </w:tc>
      </w:tr>
      <w:tr w:rsidR="00724075" w:rsidRPr="00724075" w14:paraId="58D25F81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93EB5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Grand Rapids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76AD6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A7FB7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[pending]</w:t>
            </w:r>
          </w:p>
        </w:tc>
      </w:tr>
      <w:tr w:rsidR="00724075" w:rsidRPr="00724075" w14:paraId="6B6E134D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6B168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Grand Rapids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09895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V2 mix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A4FA3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 xml:space="preserve">76.15 </w:t>
            </w:r>
            <w:r w:rsidRPr="0072407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3.54</w:t>
            </w:r>
          </w:p>
        </w:tc>
      </w:tr>
      <w:tr w:rsidR="00724075" w:rsidRPr="00724075" w14:paraId="557DE33D" w14:textId="77777777" w:rsidTr="007240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7712C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Grand Rapids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D9D18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proofErr w:type="spellStart"/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>clo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08226" w14:textId="77777777" w:rsidR="00724075" w:rsidRPr="00724075" w:rsidRDefault="00724075" w:rsidP="00724075">
            <w:pPr>
              <w:rPr>
                <w:rFonts w:ascii="Times New Roman" w:hAnsi="Times New Roman" w:cs="Times New Roman"/>
              </w:rPr>
            </w:pPr>
            <w:r w:rsidRPr="00724075">
              <w:rPr>
                <w:rFonts w:ascii="Arial" w:hAnsi="Arial" w:cs="Arial"/>
                <w:color w:val="000000"/>
                <w:sz w:val="22"/>
                <w:szCs w:val="22"/>
              </w:rPr>
              <w:t xml:space="preserve">41.01 </w:t>
            </w:r>
            <w:r w:rsidRPr="0072407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4.02</w:t>
            </w:r>
          </w:p>
        </w:tc>
      </w:tr>
    </w:tbl>
    <w:p w14:paraId="598389AE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2645AEFB" w14:textId="77777777" w:rsidR="00724075" w:rsidRPr="00724075" w:rsidRDefault="00724075" w:rsidP="00724075">
      <w:pPr>
        <w:rPr>
          <w:rFonts w:ascii="Times New Roman" w:hAnsi="Times New Roman" w:cs="Times New Roman"/>
        </w:rPr>
      </w:pPr>
      <w:r w:rsidRPr="00724075">
        <w:rPr>
          <w:rFonts w:ascii="Arial" w:hAnsi="Arial" w:cs="Arial"/>
          <w:color w:val="000000"/>
          <w:sz w:val="22"/>
          <w:szCs w:val="22"/>
        </w:rPr>
        <w:t xml:space="preserve">Table 1: </w:t>
      </w:r>
      <w:proofErr w:type="spellStart"/>
      <w:r w:rsidRPr="00724075">
        <w:rPr>
          <w:rFonts w:ascii="Arial" w:hAnsi="Arial" w:cs="Arial"/>
          <w:color w:val="000000"/>
          <w:sz w:val="22"/>
          <w:szCs w:val="22"/>
        </w:rPr>
        <w:t>NDfA</w:t>
      </w:r>
      <w:proofErr w:type="spellEnd"/>
      <w:r w:rsidRPr="00724075">
        <w:rPr>
          <w:rFonts w:ascii="Arial" w:hAnsi="Arial" w:cs="Arial"/>
          <w:color w:val="000000"/>
          <w:sz w:val="22"/>
          <w:szCs w:val="22"/>
        </w:rPr>
        <w:t xml:space="preserve"> (%) across treatments and sites in 2016.  V1 and V2 at Grand Rapids are pending analysis.  Confidence intervals were determined by standard error.</w:t>
      </w:r>
    </w:p>
    <w:p w14:paraId="5A5693B2" w14:textId="77777777" w:rsidR="00724075" w:rsidRPr="00724075" w:rsidRDefault="00724075" w:rsidP="00724075">
      <w:pPr>
        <w:rPr>
          <w:rFonts w:ascii="Times New Roman" w:eastAsia="Times New Roman" w:hAnsi="Times New Roman" w:cs="Times New Roman"/>
        </w:rPr>
      </w:pPr>
    </w:p>
    <w:p w14:paraId="466CFC90" w14:textId="77777777" w:rsidR="0041269D" w:rsidRDefault="0041269D"/>
    <w:sectPr w:rsidR="0041269D" w:rsidSect="00D5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75"/>
    <w:rsid w:val="0041269D"/>
    <w:rsid w:val="00724075"/>
    <w:rsid w:val="00D53D1B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ECA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07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383</Words>
  <Characters>2189</Characters>
  <Application>Microsoft Macintosh Word</Application>
  <DocSecurity>0</DocSecurity>
  <Lines>18</Lines>
  <Paragraphs>5</Paragraphs>
  <ScaleCrop>false</ScaleCrop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2017-03-01T03:46:00Z</dcterms:created>
  <dcterms:modified xsi:type="dcterms:W3CDTF">2017-03-01T03:48:00Z</dcterms:modified>
</cp:coreProperties>
</file>