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323"/>
        <w:tblW w:w="15428" w:type="dxa"/>
        <w:tblLook w:val="04A0" w:firstRow="1" w:lastRow="0" w:firstColumn="1" w:lastColumn="0" w:noHBand="0" w:noVBand="1"/>
      </w:tblPr>
      <w:tblGrid>
        <w:gridCol w:w="1980"/>
        <w:gridCol w:w="810"/>
        <w:gridCol w:w="756"/>
        <w:gridCol w:w="810"/>
        <w:gridCol w:w="810"/>
        <w:gridCol w:w="900"/>
        <w:gridCol w:w="1136"/>
        <w:gridCol w:w="810"/>
        <w:gridCol w:w="696"/>
        <w:gridCol w:w="816"/>
        <w:gridCol w:w="696"/>
        <w:gridCol w:w="696"/>
        <w:gridCol w:w="756"/>
        <w:gridCol w:w="636"/>
        <w:gridCol w:w="636"/>
        <w:gridCol w:w="636"/>
        <w:gridCol w:w="636"/>
        <w:gridCol w:w="576"/>
        <w:gridCol w:w="636"/>
      </w:tblGrid>
      <w:tr w:rsidR="00DE5722" w:rsidRPr="00320617" w:rsidTr="00DE5722">
        <w:trPr>
          <w:trHeight w:val="957"/>
        </w:trPr>
        <w:tc>
          <w:tcPr>
            <w:tcW w:w="1980"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 </w:t>
            </w:r>
          </w:p>
        </w:tc>
        <w:tc>
          <w:tcPr>
            <w:tcW w:w="810"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Total N (%)</w:t>
            </w:r>
          </w:p>
        </w:tc>
        <w:tc>
          <w:tcPr>
            <w:tcW w:w="756"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Total C (%)</w:t>
            </w:r>
          </w:p>
        </w:tc>
        <w:tc>
          <w:tcPr>
            <w:tcW w:w="810"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C/N Ratio</w:t>
            </w:r>
          </w:p>
        </w:tc>
        <w:tc>
          <w:tcPr>
            <w:tcW w:w="810"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NH</w:t>
            </w:r>
            <w:r w:rsidRPr="00320617">
              <w:rPr>
                <w:rFonts w:ascii="Times New Roman" w:eastAsia="Times New Roman" w:hAnsi="Times New Roman" w:cs="Times New Roman"/>
                <w:color w:val="000000"/>
                <w:sz w:val="24"/>
                <w:szCs w:val="24"/>
                <w:vertAlign w:val="subscript"/>
              </w:rPr>
              <w:t>4</w:t>
            </w:r>
            <w:r w:rsidRPr="00320617">
              <w:rPr>
                <w:rFonts w:ascii="Times New Roman" w:eastAsia="Times New Roman" w:hAnsi="Times New Roman" w:cs="Times New Roman"/>
                <w:color w:val="000000"/>
                <w:sz w:val="24"/>
                <w:szCs w:val="24"/>
                <w:vertAlign w:val="superscript"/>
              </w:rPr>
              <w:t xml:space="preserve">+ </w:t>
            </w:r>
          </w:p>
        </w:tc>
        <w:tc>
          <w:tcPr>
            <w:tcW w:w="900"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NO</w:t>
            </w:r>
            <w:r w:rsidRPr="00320617">
              <w:rPr>
                <w:rFonts w:ascii="Times New Roman" w:eastAsia="Times New Roman" w:hAnsi="Times New Roman" w:cs="Times New Roman"/>
                <w:color w:val="000000"/>
                <w:sz w:val="24"/>
                <w:szCs w:val="24"/>
                <w:vertAlign w:val="subscript"/>
              </w:rPr>
              <w:t>3</w:t>
            </w:r>
            <w:r w:rsidRPr="00320617">
              <w:rPr>
                <w:rFonts w:ascii="Times New Roman" w:eastAsia="Times New Roman" w:hAnsi="Times New Roman" w:cs="Times New Roman"/>
                <w:color w:val="000000"/>
                <w:sz w:val="24"/>
                <w:szCs w:val="24"/>
                <w:vertAlign w:val="superscript"/>
              </w:rPr>
              <w:t>-</w:t>
            </w:r>
          </w:p>
        </w:tc>
        <w:tc>
          <w:tcPr>
            <w:tcW w:w="1136" w:type="dxa"/>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Total Inorganic N</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P (Plant Avail. )</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Ca</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K</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Mg</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Na</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Al</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Fe</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Mn</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B</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Zn</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S</w:t>
            </w:r>
          </w:p>
        </w:tc>
        <w:tc>
          <w:tcPr>
            <w:tcW w:w="0" w:type="auto"/>
            <w:tcBorders>
              <w:top w:val="single" w:sz="4" w:space="0" w:color="auto"/>
              <w:left w:val="nil"/>
              <w:bottom w:val="single" w:sz="8" w:space="0" w:color="auto"/>
              <w:right w:val="nil"/>
            </w:tcBorders>
            <w:shd w:val="clear" w:color="auto" w:fill="auto"/>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pH</w:t>
            </w:r>
          </w:p>
        </w:tc>
      </w:tr>
      <w:tr w:rsidR="00DE5722" w:rsidRPr="00320617" w:rsidTr="00DE5722">
        <w:trPr>
          <w:trHeight w:val="446"/>
        </w:trPr>
        <w:tc>
          <w:tcPr>
            <w:tcW w:w="1980" w:type="dxa"/>
            <w:tcBorders>
              <w:top w:val="nil"/>
              <w:left w:val="nil"/>
              <w:bottom w:val="nil"/>
              <w:right w:val="nil"/>
            </w:tcBorders>
            <w:shd w:val="clear" w:color="auto" w:fill="auto"/>
            <w:noWrap/>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Vermicompost</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3.41</w:t>
            </w:r>
          </w:p>
        </w:tc>
        <w:tc>
          <w:tcPr>
            <w:tcW w:w="75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38.05</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11.15</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20.75</w:t>
            </w:r>
          </w:p>
        </w:tc>
        <w:tc>
          <w:tcPr>
            <w:tcW w:w="90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4745</w:t>
            </w:r>
          </w:p>
        </w:tc>
        <w:tc>
          <w:tcPr>
            <w:tcW w:w="113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4765.75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2705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9850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22250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4225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5900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130.5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960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6.73</w:t>
            </w:r>
          </w:p>
        </w:tc>
      </w:tr>
      <w:tr w:rsidR="00DE5722" w:rsidRPr="00320617" w:rsidTr="00DE5722">
        <w:trPr>
          <w:trHeight w:val="446"/>
        </w:trPr>
        <w:tc>
          <w:tcPr>
            <w:tcW w:w="1980" w:type="dxa"/>
            <w:tcBorders>
              <w:top w:val="nil"/>
              <w:left w:val="nil"/>
              <w:bottom w:val="nil"/>
              <w:right w:val="nil"/>
            </w:tcBorders>
            <w:shd w:val="clear" w:color="auto" w:fill="auto"/>
            <w:noWrap/>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 xml:space="preserve"> Thermophilic Compost</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1.16</w:t>
            </w:r>
          </w:p>
        </w:tc>
        <w:tc>
          <w:tcPr>
            <w:tcW w:w="75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20.38</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17.62</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10.2</w:t>
            </w:r>
          </w:p>
        </w:tc>
        <w:tc>
          <w:tcPr>
            <w:tcW w:w="90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33.6</w:t>
            </w:r>
          </w:p>
        </w:tc>
        <w:tc>
          <w:tcPr>
            <w:tcW w:w="113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43.8</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905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6900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4920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1640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1380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14.25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3.9</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1.25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230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7.48</w:t>
            </w:r>
          </w:p>
        </w:tc>
      </w:tr>
      <w:tr w:rsidR="00DE5722" w:rsidRPr="00320617" w:rsidTr="00DE5722">
        <w:trPr>
          <w:trHeight w:val="446"/>
        </w:trPr>
        <w:tc>
          <w:tcPr>
            <w:tcW w:w="1980" w:type="dxa"/>
            <w:tcBorders>
              <w:top w:val="nil"/>
              <w:left w:val="nil"/>
              <w:bottom w:val="nil"/>
              <w:right w:val="nil"/>
            </w:tcBorders>
            <w:shd w:val="clear" w:color="auto" w:fill="auto"/>
            <w:noWrap/>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Bokashi (Field Trial)</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2.45</w:t>
            </w:r>
          </w:p>
        </w:tc>
        <w:tc>
          <w:tcPr>
            <w:tcW w:w="75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45.22</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18.49</w:t>
            </w:r>
          </w:p>
        </w:tc>
        <w:tc>
          <w:tcPr>
            <w:tcW w:w="81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1055</w:t>
            </w:r>
          </w:p>
        </w:tc>
        <w:tc>
          <w:tcPr>
            <w:tcW w:w="900"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40.2</w:t>
            </w:r>
          </w:p>
        </w:tc>
        <w:tc>
          <w:tcPr>
            <w:tcW w:w="1136" w:type="dxa"/>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1095.2</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3645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615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6250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1830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2390</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14.4</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42.5</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22.6</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4.23</w:t>
            </w:r>
          </w:p>
        </w:tc>
      </w:tr>
      <w:tr w:rsidR="00DE5722" w:rsidRPr="00320617" w:rsidTr="00DE5722">
        <w:trPr>
          <w:trHeight w:val="446"/>
        </w:trPr>
        <w:tc>
          <w:tcPr>
            <w:tcW w:w="1980" w:type="dxa"/>
            <w:tcBorders>
              <w:top w:val="nil"/>
              <w:left w:val="nil"/>
              <w:bottom w:val="single" w:sz="4" w:space="0" w:color="auto"/>
              <w:right w:val="nil"/>
            </w:tcBorders>
            <w:shd w:val="clear" w:color="auto" w:fill="auto"/>
            <w:noWrap/>
            <w:vAlign w:val="bottom"/>
            <w:hideMark/>
          </w:tcPr>
          <w:p w:rsidR="00320617" w:rsidRPr="00320617" w:rsidRDefault="00320617" w:rsidP="00320617">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Bokashi (Greenhouse Trial)</w:t>
            </w:r>
          </w:p>
        </w:tc>
        <w:tc>
          <w:tcPr>
            <w:tcW w:w="810"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3.54</w:t>
            </w:r>
          </w:p>
        </w:tc>
        <w:tc>
          <w:tcPr>
            <w:tcW w:w="756"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46.85</w:t>
            </w:r>
          </w:p>
        </w:tc>
        <w:tc>
          <w:tcPr>
            <w:tcW w:w="810"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13.25</w:t>
            </w:r>
          </w:p>
        </w:tc>
        <w:tc>
          <w:tcPr>
            <w:tcW w:w="810"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1410</w:t>
            </w:r>
          </w:p>
        </w:tc>
        <w:tc>
          <w:tcPr>
            <w:tcW w:w="900"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25.95</w:t>
            </w:r>
          </w:p>
        </w:tc>
        <w:tc>
          <w:tcPr>
            <w:tcW w:w="1136" w:type="dxa"/>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1435.95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3950</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6400</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8250</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2695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1755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184</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28.5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25.5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23.5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575</w:t>
            </w:r>
          </w:p>
        </w:tc>
        <w:tc>
          <w:tcPr>
            <w:tcW w:w="0" w:type="auto"/>
            <w:tcBorders>
              <w:top w:val="nil"/>
              <w:left w:val="nil"/>
              <w:bottom w:val="single" w:sz="4" w:space="0" w:color="auto"/>
              <w:right w:val="nil"/>
            </w:tcBorders>
            <w:shd w:val="clear" w:color="auto" w:fill="auto"/>
            <w:noWrap/>
            <w:vAlign w:val="bottom"/>
            <w:hideMark/>
          </w:tcPr>
          <w:p w:rsidR="00320617" w:rsidRPr="00320617" w:rsidRDefault="00320617" w:rsidP="00DE5722">
            <w:pPr>
              <w:spacing w:after="0" w:line="240" w:lineRule="auto"/>
              <w:jc w:val="center"/>
              <w:rPr>
                <w:rFonts w:ascii="Times New Roman" w:eastAsia="Times New Roman" w:hAnsi="Times New Roman" w:cs="Times New Roman"/>
                <w:color w:val="000000"/>
                <w:sz w:val="24"/>
                <w:szCs w:val="24"/>
              </w:rPr>
            </w:pPr>
            <w:r w:rsidRPr="00320617">
              <w:rPr>
                <w:rFonts w:ascii="Times New Roman" w:eastAsia="Times New Roman" w:hAnsi="Times New Roman" w:cs="Times New Roman"/>
                <w:color w:val="000000"/>
                <w:sz w:val="24"/>
                <w:szCs w:val="24"/>
              </w:rPr>
              <w:t>4.21</w:t>
            </w:r>
          </w:p>
        </w:tc>
      </w:tr>
    </w:tbl>
    <w:p w:rsidR="006757DE" w:rsidRPr="00320617" w:rsidRDefault="00320617" w:rsidP="006757DE">
      <w:pPr>
        <w:ind w:left="720"/>
        <w:rPr>
          <w:rFonts w:ascii="Cambria" w:hAnsi="Cambria"/>
          <w:sz w:val="24"/>
          <w:szCs w:val="24"/>
        </w:rPr>
      </w:pPr>
      <w:r w:rsidRPr="00320617">
        <w:rPr>
          <w:rFonts w:ascii="Cambria" w:hAnsi="Cambria"/>
          <w:b/>
          <w:sz w:val="24"/>
          <w:szCs w:val="24"/>
        </w:rPr>
        <w:t>Table 1.</w:t>
      </w:r>
      <w:r w:rsidRPr="00320617">
        <w:rPr>
          <w:rFonts w:ascii="Cambria" w:hAnsi="Cambria"/>
          <w:sz w:val="24"/>
          <w:szCs w:val="24"/>
        </w:rPr>
        <w:t xml:space="preserve"> Nutrient Profiles of amendments used in studies. Units in mg kg</w:t>
      </w:r>
      <w:r w:rsidRPr="00320617">
        <w:rPr>
          <w:rFonts w:ascii="Cambria" w:hAnsi="Cambria"/>
          <w:sz w:val="24"/>
          <w:szCs w:val="24"/>
          <w:vertAlign w:val="superscript"/>
        </w:rPr>
        <w:t>-1</w:t>
      </w:r>
      <w:r w:rsidRPr="00320617">
        <w:rPr>
          <w:rFonts w:ascii="Cambria" w:hAnsi="Cambria"/>
          <w:sz w:val="24"/>
          <w:szCs w:val="24"/>
        </w:rPr>
        <w:t xml:space="preserve"> if not specified.  </w:t>
      </w:r>
    </w:p>
    <w:p w:rsidR="00005E32" w:rsidRDefault="006757DE" w:rsidP="006757DE">
      <w:r>
        <w:t xml:space="preserve"> </w:t>
      </w:r>
      <w:r w:rsidR="00AB38E6">
        <w:t xml:space="preserve"> </w:t>
      </w:r>
      <w:r w:rsidR="003D1A39">
        <w:object w:dxaOrig="7101" w:dyaOrig="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289.85pt" o:ole="">
            <v:imagedata r:id="rId7" o:title=""/>
          </v:shape>
          <o:OLEObject Type="Embed" ProgID="Prism6.Document" ShapeID="_x0000_i1025" DrawAspect="Content" ObjectID="_1533627451" r:id="rId8"/>
        </w:object>
      </w:r>
      <w:r w:rsidR="00AB38E6">
        <w:t xml:space="preserve">                       </w:t>
      </w:r>
      <w:r w:rsidR="00AB38E6" w:rsidRPr="00D335EC">
        <w:rPr>
          <w:noProof/>
        </w:rPr>
        <w:drawing>
          <wp:inline distT="0" distB="0" distL="0" distR="0" wp14:anchorId="0C03EAE6" wp14:editId="0D574037">
            <wp:extent cx="3452884" cy="345288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3462444" cy="3462444"/>
                    </a:xfrm>
                    <a:prstGeom prst="rect">
                      <a:avLst/>
                    </a:prstGeom>
                  </pic:spPr>
                </pic:pic>
              </a:graphicData>
            </a:graphic>
          </wp:inline>
        </w:drawing>
      </w:r>
    </w:p>
    <w:p w:rsidR="00CE0072" w:rsidRDefault="003833E2" w:rsidP="00CE0072">
      <w:pPr>
        <w:spacing w:after="0"/>
        <w:ind w:left="8640" w:hanging="8640"/>
        <w:rPr>
          <w:rFonts w:ascii="Cambria" w:hAnsi="Cambria"/>
        </w:rPr>
      </w:pPr>
      <w:r>
        <w:rPr>
          <w:noProof/>
        </w:rPr>
        <mc:AlternateContent>
          <mc:Choice Requires="wps">
            <w:drawing>
              <wp:anchor distT="0" distB="0" distL="114300" distR="114300" simplePos="0" relativeHeight="251661312" behindDoc="0" locked="0" layoutInCell="1" allowOverlap="1" wp14:anchorId="69147B51" wp14:editId="51CBC0F2">
                <wp:simplePos x="0" y="0"/>
                <wp:positionH relativeFrom="margin">
                  <wp:align>right</wp:align>
                </wp:positionH>
                <wp:positionV relativeFrom="paragraph">
                  <wp:posOffset>7734</wp:posOffset>
                </wp:positionV>
                <wp:extent cx="3684895" cy="805218"/>
                <wp:effectExtent l="0" t="0" r="11430" b="13970"/>
                <wp:wrapNone/>
                <wp:docPr id="2" name="Text Box 2"/>
                <wp:cNvGraphicFramePr/>
                <a:graphic xmlns:a="http://schemas.openxmlformats.org/drawingml/2006/main">
                  <a:graphicData uri="http://schemas.microsoft.com/office/word/2010/wordprocessingShape">
                    <wps:wsp>
                      <wps:cNvSpPr txBox="1"/>
                      <wps:spPr>
                        <a:xfrm>
                          <a:off x="0" y="0"/>
                          <a:ext cx="3684895" cy="805218"/>
                        </a:xfrm>
                        <a:prstGeom prst="rect">
                          <a:avLst/>
                        </a:prstGeom>
                        <a:solidFill>
                          <a:schemeClr val="lt1"/>
                        </a:solidFill>
                        <a:ln w="6350">
                          <a:solidFill>
                            <a:prstClr val="black"/>
                          </a:solidFill>
                        </a:ln>
                      </wps:spPr>
                      <wps:txbx>
                        <w:txbxContent>
                          <w:p w:rsidR="003833E2" w:rsidRDefault="003833E2" w:rsidP="003833E2">
                            <w:r w:rsidRPr="00AB38E6">
                              <w:rPr>
                                <w:rFonts w:ascii="Cambria" w:hAnsi="Cambria"/>
                                <w:b/>
                              </w:rPr>
                              <w:t>Figure 2.</w:t>
                            </w:r>
                            <w:r>
                              <w:rPr>
                                <w:rFonts w:ascii="Cambria" w:hAnsi="Cambria"/>
                              </w:rPr>
                              <w:t xml:space="preserve"> Comparison of spinach growing in different treatments.  Top left: Bokashi, Top right: Vermicompost, Bottom left: Compost, Bottom right: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47B51" id="_x0000_t202" coordsize="21600,21600" o:spt="202" path="m,l,21600r21600,l21600,xe">
                <v:stroke joinstyle="miter"/>
                <v:path gradientshapeok="t" o:connecttype="rect"/>
              </v:shapetype>
              <v:shape id="Text Box 2" o:spid="_x0000_s1026" type="#_x0000_t202" style="position:absolute;left:0;text-align:left;margin-left:238.95pt;margin-top:.6pt;width:290.15pt;height:63.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" fillcolor="white [3201]" strokeweight=".5pt">
                <v:textbox>
                  <w:txbxContent>
                    <w:p w:rsidR="003833E2" w:rsidRDefault="003833E2" w:rsidP="003833E2">
                      <w:r w:rsidRPr="00AB38E6">
                        <w:rPr>
                          <w:rFonts w:ascii="Cambria" w:hAnsi="Cambria"/>
                          <w:b/>
                        </w:rPr>
                        <w:t>Figure 2.</w:t>
                      </w:r>
                      <w:r>
                        <w:rPr>
                          <w:rFonts w:ascii="Cambria" w:hAnsi="Cambria"/>
                        </w:rPr>
                        <w:t xml:space="preserve"> Comparison of spinach growing in different treatments.  Top left: Bokashi, Top right: Vermicompost, Bottom left: Compost, Bottom right: Control</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E6439F2" wp14:editId="160FDB99">
                <wp:simplePos x="0" y="0"/>
                <wp:positionH relativeFrom="margin">
                  <wp:align>left</wp:align>
                </wp:positionH>
                <wp:positionV relativeFrom="paragraph">
                  <wp:posOffset>7819</wp:posOffset>
                </wp:positionV>
                <wp:extent cx="4954137" cy="518615"/>
                <wp:effectExtent l="0" t="0" r="18415" b="15240"/>
                <wp:wrapNone/>
                <wp:docPr id="1" name="Text Box 1"/>
                <wp:cNvGraphicFramePr/>
                <a:graphic xmlns:a="http://schemas.openxmlformats.org/drawingml/2006/main">
                  <a:graphicData uri="http://schemas.microsoft.com/office/word/2010/wordprocessingShape">
                    <wps:wsp>
                      <wps:cNvSpPr txBox="1"/>
                      <wps:spPr>
                        <a:xfrm>
                          <a:off x="0" y="0"/>
                          <a:ext cx="4954137" cy="518615"/>
                        </a:xfrm>
                        <a:prstGeom prst="rect">
                          <a:avLst/>
                        </a:prstGeom>
                        <a:solidFill>
                          <a:schemeClr val="lt1"/>
                        </a:solidFill>
                        <a:ln w="6350">
                          <a:solidFill>
                            <a:prstClr val="black"/>
                          </a:solidFill>
                        </a:ln>
                      </wps:spPr>
                      <wps:txbx>
                        <w:txbxContent>
                          <w:p w:rsidR="00CE0072" w:rsidRDefault="00CE0072" w:rsidP="00CE0072">
                            <w:pPr>
                              <w:spacing w:after="0"/>
                              <w:ind w:left="8640" w:hanging="8640"/>
                              <w:rPr>
                                <w:rFonts w:ascii="Cambria" w:hAnsi="Cambria"/>
                              </w:rPr>
                            </w:pPr>
                            <w:r w:rsidRPr="00AB38E6">
                              <w:rPr>
                                <w:rFonts w:ascii="Cambria" w:hAnsi="Cambria"/>
                                <w:b/>
                              </w:rPr>
                              <w:t>Figure 1.</w:t>
                            </w:r>
                            <w:r w:rsidRPr="00AB38E6">
                              <w:rPr>
                                <w:rFonts w:ascii="Cambria" w:hAnsi="Cambria"/>
                              </w:rPr>
                              <w:t xml:space="preserve"> Yield comparison across treatments of 1</w:t>
                            </w:r>
                            <w:r w:rsidRPr="00AB38E6">
                              <w:rPr>
                                <w:rFonts w:ascii="Cambria" w:hAnsi="Cambria"/>
                                <w:vertAlign w:val="superscript"/>
                              </w:rPr>
                              <w:t>st</w:t>
                            </w:r>
                            <w:r w:rsidRPr="00AB38E6">
                              <w:rPr>
                                <w:rFonts w:ascii="Cambria" w:hAnsi="Cambria"/>
                              </w:rPr>
                              <w:t xml:space="preserve"> and 2</w:t>
                            </w:r>
                            <w:r w:rsidRPr="00AB38E6">
                              <w:rPr>
                                <w:rFonts w:ascii="Cambria" w:hAnsi="Cambria"/>
                                <w:vertAlign w:val="superscript"/>
                              </w:rPr>
                              <w:t>nd</w:t>
                            </w:r>
                            <w:r>
                              <w:rPr>
                                <w:rFonts w:ascii="Cambria" w:hAnsi="Cambria"/>
                              </w:rPr>
                              <w:t xml:space="preserve"> cuttings, and total</w:t>
                            </w:r>
                            <w:r w:rsidRPr="00AB38E6">
                              <w:rPr>
                                <w:rFonts w:ascii="Cambria" w:hAnsi="Cambria"/>
                              </w:rPr>
                              <w:t>.</w:t>
                            </w:r>
                            <w:r>
                              <w:rPr>
                                <w:rFonts w:ascii="Cambria" w:hAnsi="Cambria"/>
                              </w:rPr>
                              <w:t xml:space="preserve"> </w:t>
                            </w:r>
                          </w:p>
                          <w:p w:rsidR="00CE0072" w:rsidRDefault="00CE0072" w:rsidP="00CE0072">
                            <w:pPr>
                              <w:spacing w:after="0"/>
                              <w:ind w:left="8640" w:hanging="8640"/>
                              <w:rPr>
                                <w:rFonts w:ascii="Cambria" w:hAnsi="Cambria"/>
                              </w:rPr>
                            </w:pPr>
                            <w:r>
                              <w:rPr>
                                <w:rFonts w:ascii="Cambria" w:hAnsi="Cambria"/>
                              </w:rPr>
                              <w:t>Different letters indicate significant differences between treatments (p&lt;0.05)</w:t>
                            </w:r>
                          </w:p>
                          <w:p w:rsidR="00CE0072" w:rsidRDefault="00CE0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39F2" id="Text Box 1" o:spid="_x0000_s1027" type="#_x0000_t202" style="position:absolute;left:0;text-align:left;margin-left:0;margin-top:.6pt;width:390.1pt;height:40.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" fillcolor="white [3201]" strokeweight=".5pt">
                <v:textbox>
                  <w:txbxContent>
                    <w:p w:rsidR="00CE0072" w:rsidRDefault="00CE0072" w:rsidP="00CE0072">
                      <w:pPr>
                        <w:spacing w:after="0"/>
                        <w:ind w:left="8640" w:hanging="8640"/>
                        <w:rPr>
                          <w:rFonts w:ascii="Cambria" w:hAnsi="Cambria"/>
                        </w:rPr>
                      </w:pPr>
                      <w:r w:rsidRPr="00AB38E6">
                        <w:rPr>
                          <w:rFonts w:ascii="Cambria" w:hAnsi="Cambria"/>
                          <w:b/>
                        </w:rPr>
                        <w:t>Figure 1.</w:t>
                      </w:r>
                      <w:r w:rsidRPr="00AB38E6">
                        <w:rPr>
                          <w:rFonts w:ascii="Cambria" w:hAnsi="Cambria"/>
                        </w:rPr>
                        <w:t xml:space="preserve"> Yield comparison across treatments of 1</w:t>
                      </w:r>
                      <w:r w:rsidRPr="00AB38E6">
                        <w:rPr>
                          <w:rFonts w:ascii="Cambria" w:hAnsi="Cambria"/>
                          <w:vertAlign w:val="superscript"/>
                        </w:rPr>
                        <w:t>st</w:t>
                      </w:r>
                      <w:r w:rsidRPr="00AB38E6">
                        <w:rPr>
                          <w:rFonts w:ascii="Cambria" w:hAnsi="Cambria"/>
                        </w:rPr>
                        <w:t xml:space="preserve"> and 2</w:t>
                      </w:r>
                      <w:r w:rsidRPr="00AB38E6">
                        <w:rPr>
                          <w:rFonts w:ascii="Cambria" w:hAnsi="Cambria"/>
                          <w:vertAlign w:val="superscript"/>
                        </w:rPr>
                        <w:t>nd</w:t>
                      </w:r>
                      <w:r>
                        <w:rPr>
                          <w:rFonts w:ascii="Cambria" w:hAnsi="Cambria"/>
                        </w:rPr>
                        <w:t xml:space="preserve"> cuttings, and total</w:t>
                      </w:r>
                      <w:r w:rsidRPr="00AB38E6">
                        <w:rPr>
                          <w:rFonts w:ascii="Cambria" w:hAnsi="Cambria"/>
                        </w:rPr>
                        <w:t>.</w:t>
                      </w:r>
                      <w:r>
                        <w:rPr>
                          <w:rFonts w:ascii="Cambria" w:hAnsi="Cambria"/>
                        </w:rPr>
                        <w:t xml:space="preserve"> </w:t>
                      </w:r>
                    </w:p>
                    <w:p w:rsidR="00CE0072" w:rsidRDefault="00CE0072" w:rsidP="00CE0072">
                      <w:pPr>
                        <w:spacing w:after="0"/>
                        <w:ind w:left="8640" w:hanging="8640"/>
                        <w:rPr>
                          <w:rFonts w:ascii="Cambria" w:hAnsi="Cambria"/>
                        </w:rPr>
                      </w:pPr>
                      <w:r>
                        <w:rPr>
                          <w:rFonts w:ascii="Cambria" w:hAnsi="Cambria"/>
                        </w:rPr>
                        <w:t>Different letters indicate significant differences between treatments (p&lt;0.05)</w:t>
                      </w:r>
                    </w:p>
                    <w:p w:rsidR="00CE0072" w:rsidRDefault="00CE0072"/>
                  </w:txbxContent>
                </v:textbox>
                <w10:wrap anchorx="margin"/>
              </v:shape>
            </w:pict>
          </mc:Fallback>
        </mc:AlternateContent>
      </w:r>
      <w:r w:rsidR="00CE0072">
        <w:rPr>
          <w:rFonts w:ascii="Cambria" w:hAnsi="Cambria"/>
        </w:rPr>
        <w:tab/>
      </w:r>
    </w:p>
    <w:p w:rsidR="00005E32" w:rsidRPr="00AB38E6" w:rsidRDefault="00AB38E6" w:rsidP="00CE0072">
      <w:pPr>
        <w:rPr>
          <w:rFonts w:ascii="Cambria" w:hAnsi="Cambria"/>
        </w:rPr>
      </w:pPr>
      <w:r>
        <w:rPr>
          <w:rFonts w:ascii="Cambria" w:hAnsi="Cambria"/>
        </w:rPr>
        <w:tab/>
      </w:r>
    </w:p>
    <w:p w:rsidR="005970A6" w:rsidRDefault="005970A6"/>
    <w:p w:rsidR="005970A6" w:rsidRPr="005970A6" w:rsidRDefault="005970A6" w:rsidP="005970A6">
      <w:pPr>
        <w:ind w:left="720" w:firstLine="720"/>
        <w:rPr>
          <w:rFonts w:ascii="Cambria" w:hAnsi="Cambria"/>
          <w:sz w:val="24"/>
          <w:szCs w:val="24"/>
        </w:rPr>
      </w:pPr>
    </w:p>
    <w:p w:rsidR="005970A6" w:rsidRDefault="00DE4897">
      <w:r>
        <w:object w:dxaOrig="8821" w:dyaOrig="5287">
          <v:shape id="_x0000_i1058" type="#_x0000_t75" style="width:318.85pt;height:190.75pt" o:ole="">
            <v:imagedata r:id="rId10" o:title=""/>
          </v:shape>
          <o:OLEObject Type="Embed" ProgID="Prism6.Document" ShapeID="_x0000_i1058" DrawAspect="Content" ObjectID="_1533627452" r:id="rId11"/>
        </w:object>
      </w:r>
      <w:r w:rsidRPr="00DE4897">
        <w:t xml:space="preserve"> </w:t>
      </w:r>
      <w:r>
        <w:object w:dxaOrig="9083" w:dyaOrig="5055">
          <v:shape id="_x0000_i1061" type="#_x0000_t75" style="width:361.85pt;height:201.05pt" o:ole="">
            <v:imagedata r:id="rId12" o:title=""/>
          </v:shape>
          <o:OLEObject Type="Embed" ProgID="Prism6.Document" ShapeID="_x0000_i1061" DrawAspect="Content" ObjectID="_1533627453" r:id="rId13"/>
        </w:object>
      </w:r>
    </w:p>
    <w:p w:rsidR="005970A6" w:rsidRDefault="00DE4897">
      <w:r>
        <w:object w:dxaOrig="9033" w:dyaOrig="5863">
          <v:shape id="_x0000_i1064" type="#_x0000_t75" style="width:339.45pt;height:220.7pt" o:ole="">
            <v:imagedata r:id="rId14" o:title=""/>
          </v:shape>
          <o:OLEObject Type="Embed" ProgID="Prism6.Document" ShapeID="_x0000_i1064" DrawAspect="Content" ObjectID="_1533627454" r:id="rId15"/>
        </w:object>
      </w:r>
      <w:r w:rsidRPr="00DE4897">
        <w:t xml:space="preserve"> </w:t>
      </w:r>
      <w:r>
        <w:object w:dxaOrig="9401" w:dyaOrig="6065">
          <v:shape id="_x0000_i1067" type="#_x0000_t75" style="width:344.1pt;height:221.6pt" o:ole="">
            <v:imagedata r:id="rId16" o:title=""/>
          </v:shape>
          <o:OLEObject Type="Embed" ProgID="Prism6.Document" ShapeID="_x0000_i1067" DrawAspect="Content" ObjectID="_1533627455" r:id="rId17"/>
        </w:object>
      </w:r>
    </w:p>
    <w:p w:rsidR="003833E2" w:rsidRDefault="003833E2" w:rsidP="003833E2">
      <w:pPr>
        <w:ind w:left="720"/>
        <w:rPr>
          <w:rFonts w:ascii="Cambria" w:hAnsi="Cambria"/>
          <w:sz w:val="24"/>
          <w:szCs w:val="24"/>
        </w:rPr>
      </w:pPr>
      <w:r w:rsidRPr="005970A6">
        <w:rPr>
          <w:rFonts w:ascii="Cambria" w:hAnsi="Cambria"/>
          <w:b/>
          <w:sz w:val="24"/>
          <w:szCs w:val="24"/>
        </w:rPr>
        <w:t>Fig</w:t>
      </w:r>
      <w:r>
        <w:rPr>
          <w:rFonts w:ascii="Cambria" w:hAnsi="Cambria"/>
          <w:b/>
          <w:sz w:val="24"/>
          <w:szCs w:val="24"/>
        </w:rPr>
        <w:t>ure 3</w:t>
      </w:r>
      <w:r w:rsidRPr="005970A6">
        <w:rPr>
          <w:rFonts w:ascii="Cambria" w:hAnsi="Cambria"/>
          <w:b/>
          <w:sz w:val="24"/>
          <w:szCs w:val="24"/>
        </w:rPr>
        <w:t>.</w:t>
      </w:r>
      <w:r w:rsidRPr="005970A6">
        <w:rPr>
          <w:rFonts w:ascii="Cambria" w:hAnsi="Cambria"/>
          <w:sz w:val="24"/>
          <w:szCs w:val="24"/>
        </w:rPr>
        <w:t xml:space="preserve"> Comparison of nitrogen speciation of treatments over time.  </w:t>
      </w:r>
      <w:r>
        <w:rPr>
          <w:rFonts w:ascii="Cambria" w:hAnsi="Cambria"/>
          <w:sz w:val="24"/>
          <w:szCs w:val="24"/>
        </w:rPr>
        <w:t>Different lowercase letters indicate significant differences among treatments.  Different uppercase letters denote significant differences between sampling points (p&lt; 0.05)</w:t>
      </w:r>
    </w:p>
    <w:p w:rsidR="003833E2" w:rsidRDefault="001E7DCF">
      <w:r>
        <w:rPr>
          <w:noProof/>
        </w:rPr>
        <w:lastRenderedPageBreak/>
        <mc:AlternateContent>
          <mc:Choice Requires="wps">
            <w:drawing>
              <wp:anchor distT="0" distB="0" distL="114300" distR="114300" simplePos="0" relativeHeight="251665408" behindDoc="0" locked="0" layoutInCell="1" allowOverlap="1" wp14:anchorId="140DA57A" wp14:editId="6A92084B">
                <wp:simplePos x="0" y="0"/>
                <wp:positionH relativeFrom="column">
                  <wp:posOffset>4914686</wp:posOffset>
                </wp:positionH>
                <wp:positionV relativeFrom="paragraph">
                  <wp:posOffset>2342721</wp:posOffset>
                </wp:positionV>
                <wp:extent cx="3918858" cy="475013"/>
                <wp:effectExtent l="0" t="0" r="24765" b="20320"/>
                <wp:wrapNone/>
                <wp:docPr id="4" name="Text Box 4"/>
                <wp:cNvGraphicFramePr/>
                <a:graphic xmlns:a="http://schemas.openxmlformats.org/drawingml/2006/main">
                  <a:graphicData uri="http://schemas.microsoft.com/office/word/2010/wordprocessingShape">
                    <wps:wsp>
                      <wps:cNvSpPr txBox="1"/>
                      <wps:spPr>
                        <a:xfrm>
                          <a:off x="0" y="0"/>
                          <a:ext cx="3918858" cy="475013"/>
                        </a:xfrm>
                        <a:prstGeom prst="rect">
                          <a:avLst/>
                        </a:prstGeom>
                        <a:solidFill>
                          <a:schemeClr val="lt1"/>
                        </a:solidFill>
                        <a:ln w="6350">
                          <a:solidFill>
                            <a:prstClr val="black"/>
                          </a:solidFill>
                        </a:ln>
                      </wps:spPr>
                      <wps:txbx>
                        <w:txbxContent>
                          <w:p w:rsidR="00A42EE1" w:rsidRDefault="00A42EE1" w:rsidP="00A42EE1">
                            <w:r>
                              <w:rPr>
                                <w:b/>
                              </w:rPr>
                              <w:t>Figure 5</w:t>
                            </w:r>
                            <w:r w:rsidRPr="00A42EE1">
                              <w:rPr>
                                <w:b/>
                              </w:rPr>
                              <w:t>.</w:t>
                            </w:r>
                            <w:r>
                              <w:t xml:space="preserve"> </w:t>
                            </w:r>
                            <w:r>
                              <w:t>N concentration in spinach leaf tissue. Different letters indicate significant differences between treatments of that harvest (p&lt;0.05)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A57A" id="Text Box 4" o:spid="_x0000_s1028" type="#_x0000_t202" style="position:absolute;margin-left:387pt;margin-top:184.45pt;width:308.55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" fillcolor="white [3201]" strokeweight=".5pt">
                <v:textbox>
                  <w:txbxContent>
                    <w:p w:rsidR="00A42EE1" w:rsidRDefault="00A42EE1" w:rsidP="00A42EE1">
                      <w:r>
                        <w:rPr>
                          <w:b/>
                        </w:rPr>
                        <w:t>Figure 5</w:t>
                      </w:r>
                      <w:r w:rsidRPr="00A42EE1">
                        <w:rPr>
                          <w:b/>
                        </w:rPr>
                        <w:t>.</w:t>
                      </w:r>
                      <w:r>
                        <w:t xml:space="preserve"> </w:t>
                      </w:r>
                      <w:r>
                        <w:t>N concentration in spinach leaf tissue. Different letters indicate significant differences between treatments of that harvest (p&lt;0.05)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7295E3E" wp14:editId="59112306">
                <wp:simplePos x="0" y="0"/>
                <wp:positionH relativeFrom="column">
                  <wp:posOffset>342331</wp:posOffset>
                </wp:positionH>
                <wp:positionV relativeFrom="paragraph">
                  <wp:posOffset>2342845</wp:posOffset>
                </wp:positionV>
                <wp:extent cx="3063834" cy="415636"/>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3063834" cy="415636"/>
                        </a:xfrm>
                        <a:prstGeom prst="rect">
                          <a:avLst/>
                        </a:prstGeom>
                        <a:solidFill>
                          <a:schemeClr val="lt1"/>
                        </a:solidFill>
                        <a:ln w="6350">
                          <a:solidFill>
                            <a:prstClr val="black"/>
                          </a:solidFill>
                        </a:ln>
                      </wps:spPr>
                      <wps:txbx>
                        <w:txbxContent>
                          <w:p w:rsidR="00A42EE1" w:rsidRDefault="00A42EE1">
                            <w:r w:rsidRPr="00A42EE1">
                              <w:rPr>
                                <w:b/>
                              </w:rPr>
                              <w:t>Figure 4.</w:t>
                            </w:r>
                            <w:r>
                              <w:t xml:space="preserve"> pH of bokashi from time of planting to end of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95E3E" id="Text Box 3" o:spid="_x0000_s1029" type="#_x0000_t202" style="position:absolute;margin-left:26.95pt;margin-top:184.5pt;width:241.25pt;height:3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" fillcolor="white [3201]" strokeweight=".5pt">
                <v:textbox>
                  <w:txbxContent>
                    <w:p w:rsidR="00A42EE1" w:rsidRDefault="00A42EE1">
                      <w:r w:rsidRPr="00A42EE1">
                        <w:rPr>
                          <w:b/>
                        </w:rPr>
                        <w:t>Figure 4.</w:t>
                      </w:r>
                      <w:r>
                        <w:t xml:space="preserve"> pH of bokashi from time of planting to end of experiment.</w:t>
                      </w:r>
                    </w:p>
                  </w:txbxContent>
                </v:textbox>
              </v:shape>
            </w:pict>
          </mc:Fallback>
        </mc:AlternateContent>
      </w:r>
      <w:r>
        <w:object w:dxaOrig="6067" w:dyaOrig="4397">
          <v:shape id="_x0000_i1032" type="#_x0000_t75" style="width:255.25pt;height:185.15pt" o:ole="">
            <v:imagedata r:id="rId18" o:title=""/>
          </v:shape>
          <o:OLEObject Type="Embed" ProgID="Prism6.Document" ShapeID="_x0000_i1032" DrawAspect="Content" ObjectID="_1533627456" r:id="rId19"/>
        </w:object>
      </w:r>
      <w:r>
        <w:t xml:space="preserve">                                                   </w:t>
      </w:r>
      <w:r>
        <w:object w:dxaOrig="8261" w:dyaOrig="5125">
          <v:shape id="_x0000_i1035" type="#_x0000_t75" style="width:304.85pt;height:188.9pt" o:ole="">
            <v:imagedata r:id="rId20" o:title=""/>
          </v:shape>
          <o:OLEObject Type="Embed" ProgID="Prism6.Document" ShapeID="_x0000_i1035" DrawAspect="Content" ObjectID="_1533627457" r:id="rId21"/>
        </w:object>
      </w:r>
    </w:p>
    <w:p w:rsidR="00A42EE1" w:rsidRDefault="00A42EE1"/>
    <w:p w:rsidR="005970A6" w:rsidRDefault="00A42EE1">
      <w:r>
        <w:rPr>
          <w:noProof/>
        </w:rPr>
        <mc:AlternateContent>
          <mc:Choice Requires="wps">
            <w:drawing>
              <wp:anchor distT="0" distB="0" distL="114300" distR="114300" simplePos="0" relativeHeight="251667456" behindDoc="0" locked="0" layoutInCell="1" allowOverlap="1" wp14:anchorId="25954A37" wp14:editId="6B4CEC1B">
                <wp:simplePos x="0" y="0"/>
                <wp:positionH relativeFrom="margin">
                  <wp:align>left</wp:align>
                </wp:positionH>
                <wp:positionV relativeFrom="paragraph">
                  <wp:posOffset>2632677</wp:posOffset>
                </wp:positionV>
                <wp:extent cx="3610098" cy="1009402"/>
                <wp:effectExtent l="0" t="0" r="28575" b="19685"/>
                <wp:wrapNone/>
                <wp:docPr id="5" name="Text Box 5"/>
                <wp:cNvGraphicFramePr/>
                <a:graphic xmlns:a="http://schemas.openxmlformats.org/drawingml/2006/main">
                  <a:graphicData uri="http://schemas.microsoft.com/office/word/2010/wordprocessingShape">
                    <wps:wsp>
                      <wps:cNvSpPr txBox="1"/>
                      <wps:spPr>
                        <a:xfrm>
                          <a:off x="0" y="0"/>
                          <a:ext cx="3610098" cy="1009402"/>
                        </a:xfrm>
                        <a:prstGeom prst="rect">
                          <a:avLst/>
                        </a:prstGeom>
                        <a:solidFill>
                          <a:schemeClr val="lt1"/>
                        </a:solidFill>
                        <a:ln w="6350">
                          <a:solidFill>
                            <a:prstClr val="black"/>
                          </a:solidFill>
                        </a:ln>
                      </wps:spPr>
                      <wps:txbx>
                        <w:txbxContent>
                          <w:p w:rsidR="00A42EE1" w:rsidRDefault="00A42EE1" w:rsidP="00A42EE1">
                            <w:r>
                              <w:rPr>
                                <w:b/>
                              </w:rPr>
                              <w:t>Figure 6</w:t>
                            </w:r>
                            <w:r w:rsidRPr="00A42EE1">
                              <w:rPr>
                                <w:b/>
                              </w:rPr>
                              <w:t>.</w:t>
                            </w:r>
                            <w:r>
                              <w:t xml:space="preserve"> </w:t>
                            </w:r>
                            <w:r>
                              <w:t xml:space="preserve">Plant available phosphorus concentrations in soil over time.  </w:t>
                            </w:r>
                            <w:r>
                              <w:t xml:space="preserve"> </w:t>
                            </w:r>
                            <w:r>
                              <w:t>Lower case</w:t>
                            </w:r>
                            <w:r>
                              <w:t xml:space="preserve"> letters indicate significant differences betw</w:t>
                            </w:r>
                            <w:r>
                              <w:t>een treatments, uppercase letters indicate differences of a particular treatment across sample date</w:t>
                            </w:r>
                            <w:r>
                              <w:t>(p&lt;0.05)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4A37" id="Text Box 5" o:spid="_x0000_s1030" type="#_x0000_t202" style="position:absolute;margin-left:0;margin-top:207.3pt;width:284.25pt;height:7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" fillcolor="white [3201]" strokeweight=".5pt">
                <v:textbox>
                  <w:txbxContent>
                    <w:p w:rsidR="00A42EE1" w:rsidRDefault="00A42EE1" w:rsidP="00A42EE1">
                      <w:r>
                        <w:rPr>
                          <w:b/>
                        </w:rPr>
                        <w:t>Figure 6</w:t>
                      </w:r>
                      <w:r w:rsidRPr="00A42EE1">
                        <w:rPr>
                          <w:b/>
                        </w:rPr>
                        <w:t>.</w:t>
                      </w:r>
                      <w:r>
                        <w:t xml:space="preserve"> </w:t>
                      </w:r>
                      <w:r>
                        <w:t xml:space="preserve">Plant available phosphorus concentrations in soil over time.  </w:t>
                      </w:r>
                      <w:r>
                        <w:t xml:space="preserve"> </w:t>
                      </w:r>
                      <w:r>
                        <w:t>Lower case</w:t>
                      </w:r>
                      <w:r>
                        <w:t xml:space="preserve"> letters indicate significant differences betw</w:t>
                      </w:r>
                      <w:r>
                        <w:t>een treatments, uppercase letters indicate differences of a particular treatment across sample date</w:t>
                      </w:r>
                      <w:r>
                        <w:t>(p&lt;0.05)</w:t>
                      </w:r>
                    </w:p>
                  </w:txbxContent>
                </v:textbox>
                <w10:wrap anchorx="margin"/>
              </v:shape>
            </w:pict>
          </mc:Fallback>
        </mc:AlternateContent>
      </w:r>
      <w:r w:rsidR="00DE4897" w:rsidRPr="00DE4897">
        <w:t xml:space="preserve"> </w:t>
      </w:r>
      <w:r w:rsidR="00DE4897">
        <w:object w:dxaOrig="8864" w:dyaOrig="5706">
          <v:shape id="_x0000_i1111" type="#_x0000_t75" style="width:273.05pt;height:175.8pt" o:ole="">
            <v:imagedata r:id="rId22" o:title=""/>
          </v:shape>
          <o:OLEObject Type="Embed" ProgID="Prism6.Document" ShapeID="_x0000_i1111" DrawAspect="Content" ObjectID="_1533627458" r:id="rId23"/>
        </w:object>
      </w:r>
      <w:r w:rsidR="001E7DCF">
        <w:t xml:space="preserve">   </w:t>
      </w:r>
      <w:r w:rsidR="001E7DCF" w:rsidRPr="00AB2FC7">
        <w:rPr>
          <w:noProof/>
        </w:rPr>
        <w:drawing>
          <wp:inline distT="0" distB="0" distL="0" distR="0" wp14:anchorId="3032320F" wp14:editId="10B73C53">
            <wp:extent cx="5344033" cy="26363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9895"/>
                    <a:stretch/>
                  </pic:blipFill>
                  <pic:spPr bwMode="auto">
                    <a:xfrm>
                      <a:off x="0" y="0"/>
                      <a:ext cx="5423617" cy="2675583"/>
                    </a:xfrm>
                    <a:prstGeom prst="rect">
                      <a:avLst/>
                    </a:prstGeom>
                    <a:ln>
                      <a:noFill/>
                    </a:ln>
                    <a:extLst>
                      <a:ext uri="{53640926-AAD7-44D8-BBD7-CCE9431645EC}">
                        <a14:shadowObscured xmlns:a14="http://schemas.microsoft.com/office/drawing/2010/main"/>
                      </a:ext>
                    </a:extLst>
                  </pic:spPr>
                </pic:pic>
              </a:graphicData>
            </a:graphic>
          </wp:inline>
        </w:drawing>
      </w:r>
    </w:p>
    <w:p w:rsidR="008374FA" w:rsidRDefault="005C2585" w:rsidP="001E7DCF">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4340431</wp:posOffset>
                </wp:positionH>
                <wp:positionV relativeFrom="paragraph">
                  <wp:posOffset>61191</wp:posOffset>
                </wp:positionV>
                <wp:extent cx="4346369" cy="795647"/>
                <wp:effectExtent l="0" t="0" r="16510" b="24130"/>
                <wp:wrapNone/>
                <wp:docPr id="7" name="Text Box 7"/>
                <wp:cNvGraphicFramePr/>
                <a:graphic xmlns:a="http://schemas.openxmlformats.org/drawingml/2006/main">
                  <a:graphicData uri="http://schemas.microsoft.com/office/word/2010/wordprocessingShape">
                    <wps:wsp>
                      <wps:cNvSpPr txBox="1"/>
                      <wps:spPr>
                        <a:xfrm>
                          <a:off x="0" y="0"/>
                          <a:ext cx="4346369" cy="795647"/>
                        </a:xfrm>
                        <a:prstGeom prst="rect">
                          <a:avLst/>
                        </a:prstGeom>
                        <a:solidFill>
                          <a:schemeClr val="lt1"/>
                        </a:solidFill>
                        <a:ln w="6350">
                          <a:solidFill>
                            <a:prstClr val="black"/>
                          </a:solidFill>
                        </a:ln>
                      </wps:spPr>
                      <wps:txbx>
                        <w:txbxContent>
                          <w:p w:rsidR="005C2585" w:rsidRPr="00F77D84" w:rsidRDefault="005C2585" w:rsidP="00F77D84">
                            <w:pPr>
                              <w:pStyle w:val="Caption"/>
                              <w:keepNext/>
                              <w:rPr>
                                <w:rFonts w:asciiTheme="minorHAnsi" w:hAnsiTheme="minorHAnsi" w:cstheme="minorHAnsi"/>
                                <w:sz w:val="20"/>
                                <w:szCs w:val="20"/>
                              </w:rPr>
                            </w:pPr>
                            <w:r w:rsidRPr="00F77D84">
                              <w:rPr>
                                <w:rFonts w:asciiTheme="minorHAnsi" w:hAnsiTheme="minorHAnsi" w:cstheme="minorHAnsi"/>
                              </w:rPr>
                              <w:t xml:space="preserve">Figure 7. </w:t>
                            </w:r>
                            <w:r w:rsidRPr="00F77D84">
                              <w:rPr>
                                <w:rFonts w:asciiTheme="minorHAnsi" w:hAnsiTheme="minorHAnsi" w:cstheme="minorHAnsi"/>
                                <w:b w:val="0"/>
                                <w:sz w:val="22"/>
                                <w:szCs w:val="22"/>
                              </w:rPr>
                              <w:t xml:space="preserve">Principal response curve of carbon substrate utilization </w:t>
                            </w:r>
                            <w:r w:rsidR="00F77D84" w:rsidRPr="00F77D84">
                              <w:rPr>
                                <w:rFonts w:asciiTheme="minorHAnsi" w:hAnsiTheme="minorHAnsi" w:cstheme="minorHAnsi"/>
                                <w:b w:val="0"/>
                                <w:sz w:val="22"/>
                                <w:szCs w:val="22"/>
                              </w:rPr>
                              <w:t>with control plot used as baseline.</w:t>
                            </w:r>
                            <w:r w:rsidRPr="00F77D84">
                              <w:rPr>
                                <w:rFonts w:asciiTheme="minorHAnsi" w:hAnsiTheme="minorHAnsi" w:cstheme="minorHAnsi"/>
                                <w:b w:val="0"/>
                                <w:sz w:val="22"/>
                                <w:szCs w:val="22"/>
                              </w:rPr>
                              <w:t xml:space="preserve"> </w:t>
                            </w:r>
                            <w:r w:rsidR="00F77D84" w:rsidRPr="00F77D84">
                              <w:rPr>
                                <w:rFonts w:asciiTheme="minorHAnsi" w:hAnsiTheme="minorHAnsi" w:cstheme="minorHAnsi"/>
                                <w:b w:val="0"/>
                                <w:sz w:val="22"/>
                                <w:szCs w:val="22"/>
                              </w:rPr>
                              <w:t>The scores of the 10</w:t>
                            </w:r>
                            <w:r w:rsidRPr="00F77D84">
                              <w:rPr>
                                <w:rFonts w:asciiTheme="minorHAnsi" w:hAnsiTheme="minorHAnsi" w:cstheme="minorHAnsi"/>
                                <w:b w:val="0"/>
                                <w:sz w:val="22"/>
                                <w:szCs w:val="22"/>
                              </w:rPr>
                              <w:t xml:space="preserve"> best fit </w:t>
                            </w:r>
                            <w:r w:rsidR="00F77D84" w:rsidRPr="00F77D84">
                              <w:rPr>
                                <w:rFonts w:asciiTheme="minorHAnsi" w:hAnsiTheme="minorHAnsi" w:cstheme="minorHAnsi"/>
                                <w:b w:val="0"/>
                                <w:sz w:val="22"/>
                                <w:szCs w:val="22"/>
                              </w:rPr>
                              <w:t>substrate</w:t>
                            </w:r>
                            <w:r w:rsidRPr="00F77D84">
                              <w:rPr>
                                <w:rFonts w:asciiTheme="minorHAnsi" w:hAnsiTheme="minorHAnsi" w:cstheme="minorHAnsi"/>
                                <w:b w:val="0"/>
                                <w:sz w:val="22"/>
                                <w:szCs w:val="22"/>
                              </w:rPr>
                              <w:t xml:space="preserve">s are shown on the right axis. The </w:t>
                            </w:r>
                            <w:r w:rsidR="00F77D84" w:rsidRPr="00F77D84">
                              <w:rPr>
                                <w:rFonts w:asciiTheme="minorHAnsi" w:hAnsiTheme="minorHAnsi" w:cstheme="minorHAnsi"/>
                                <w:b w:val="0"/>
                                <w:sz w:val="22"/>
                                <w:szCs w:val="22"/>
                              </w:rPr>
                              <w:t xml:space="preserve"> substrates are listed in the table at the right along with their respective guild.</w:t>
                            </w:r>
                            <w:r w:rsidR="00F77D84" w:rsidRPr="00F77D84">
                              <w:rPr>
                                <w:rFonts w:asciiTheme="minorHAnsi" w:hAnsiTheme="minorHAnsi" w:cstheme="minorHAnsi"/>
                                <w:sz w:val="20"/>
                                <w:szCs w:val="20"/>
                              </w:rPr>
                              <w:t xml:space="preserve">  </w:t>
                            </w:r>
                          </w:p>
                          <w:p w:rsidR="005C2585" w:rsidRDefault="005C2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341.75pt;margin-top:4.8pt;width:342.25pt;height:6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" fillcolor="white [3201]" strokeweight=".5pt">
                <v:textbox>
                  <w:txbxContent>
                    <w:p w:rsidR="005C2585" w:rsidRPr="00F77D84" w:rsidRDefault="005C2585" w:rsidP="00F77D84">
                      <w:pPr>
                        <w:pStyle w:val="Caption"/>
                        <w:keepNext/>
                        <w:rPr>
                          <w:rFonts w:asciiTheme="minorHAnsi" w:hAnsiTheme="minorHAnsi" w:cstheme="minorHAnsi"/>
                          <w:sz w:val="20"/>
                          <w:szCs w:val="20"/>
                        </w:rPr>
                      </w:pPr>
                      <w:r w:rsidRPr="00F77D84">
                        <w:rPr>
                          <w:rFonts w:asciiTheme="minorHAnsi" w:hAnsiTheme="minorHAnsi" w:cstheme="minorHAnsi"/>
                        </w:rPr>
                        <w:t xml:space="preserve">Figure 7. </w:t>
                      </w:r>
                      <w:r w:rsidRPr="00F77D84">
                        <w:rPr>
                          <w:rFonts w:asciiTheme="minorHAnsi" w:hAnsiTheme="minorHAnsi" w:cstheme="minorHAnsi"/>
                          <w:b w:val="0"/>
                          <w:sz w:val="22"/>
                          <w:szCs w:val="22"/>
                        </w:rPr>
                        <w:t xml:space="preserve">Principal response curve of carbon substrate utilization </w:t>
                      </w:r>
                      <w:r w:rsidR="00F77D84" w:rsidRPr="00F77D84">
                        <w:rPr>
                          <w:rFonts w:asciiTheme="minorHAnsi" w:hAnsiTheme="minorHAnsi" w:cstheme="minorHAnsi"/>
                          <w:b w:val="0"/>
                          <w:sz w:val="22"/>
                          <w:szCs w:val="22"/>
                        </w:rPr>
                        <w:t>with control plot used as baseline.</w:t>
                      </w:r>
                      <w:r w:rsidRPr="00F77D84">
                        <w:rPr>
                          <w:rFonts w:asciiTheme="minorHAnsi" w:hAnsiTheme="minorHAnsi" w:cstheme="minorHAnsi"/>
                          <w:b w:val="0"/>
                          <w:sz w:val="22"/>
                          <w:szCs w:val="22"/>
                        </w:rPr>
                        <w:t xml:space="preserve"> </w:t>
                      </w:r>
                      <w:r w:rsidR="00F77D84" w:rsidRPr="00F77D84">
                        <w:rPr>
                          <w:rFonts w:asciiTheme="minorHAnsi" w:hAnsiTheme="minorHAnsi" w:cstheme="minorHAnsi"/>
                          <w:b w:val="0"/>
                          <w:sz w:val="22"/>
                          <w:szCs w:val="22"/>
                        </w:rPr>
                        <w:t>The scores of the 10</w:t>
                      </w:r>
                      <w:r w:rsidRPr="00F77D84">
                        <w:rPr>
                          <w:rFonts w:asciiTheme="minorHAnsi" w:hAnsiTheme="minorHAnsi" w:cstheme="minorHAnsi"/>
                          <w:b w:val="0"/>
                          <w:sz w:val="22"/>
                          <w:szCs w:val="22"/>
                        </w:rPr>
                        <w:t xml:space="preserve"> best fit </w:t>
                      </w:r>
                      <w:r w:rsidR="00F77D84" w:rsidRPr="00F77D84">
                        <w:rPr>
                          <w:rFonts w:asciiTheme="minorHAnsi" w:hAnsiTheme="minorHAnsi" w:cstheme="minorHAnsi"/>
                          <w:b w:val="0"/>
                          <w:sz w:val="22"/>
                          <w:szCs w:val="22"/>
                        </w:rPr>
                        <w:t>substrate</w:t>
                      </w:r>
                      <w:r w:rsidRPr="00F77D84">
                        <w:rPr>
                          <w:rFonts w:asciiTheme="minorHAnsi" w:hAnsiTheme="minorHAnsi" w:cstheme="minorHAnsi"/>
                          <w:b w:val="0"/>
                          <w:sz w:val="22"/>
                          <w:szCs w:val="22"/>
                        </w:rPr>
                        <w:t xml:space="preserve">s are shown on the right axis. The </w:t>
                      </w:r>
                      <w:r w:rsidR="00F77D84" w:rsidRPr="00F77D84">
                        <w:rPr>
                          <w:rFonts w:asciiTheme="minorHAnsi" w:hAnsiTheme="minorHAnsi" w:cstheme="minorHAnsi"/>
                          <w:b w:val="0"/>
                          <w:sz w:val="22"/>
                          <w:szCs w:val="22"/>
                        </w:rPr>
                        <w:t xml:space="preserve"> substrates are listed in the table at the right along with their respective guild.</w:t>
                      </w:r>
                      <w:r w:rsidR="00F77D84" w:rsidRPr="00F77D84">
                        <w:rPr>
                          <w:rFonts w:asciiTheme="minorHAnsi" w:hAnsiTheme="minorHAnsi" w:cstheme="minorHAnsi"/>
                          <w:sz w:val="20"/>
                          <w:szCs w:val="20"/>
                        </w:rPr>
                        <w:t xml:space="preserve">  </w:t>
                      </w:r>
                    </w:p>
                    <w:p w:rsidR="005C2585" w:rsidRDefault="005C2585"/>
                  </w:txbxContent>
                </v:textbox>
              </v:shape>
            </w:pict>
          </mc:Fallback>
        </mc:AlternateContent>
      </w:r>
      <w:r w:rsidR="001E7DCF">
        <w:rPr>
          <w:noProof/>
        </w:rPr>
        <mc:AlternateContent>
          <mc:Choice Requires="wps">
            <w:drawing>
              <wp:anchor distT="0" distB="0" distL="114300" distR="114300" simplePos="0" relativeHeight="251662336" behindDoc="0" locked="0" layoutInCell="1" allowOverlap="1" wp14:anchorId="0EB2DA38" wp14:editId="7E6A4E89">
                <wp:simplePos x="0" y="0"/>
                <wp:positionH relativeFrom="column">
                  <wp:posOffset>444830</wp:posOffset>
                </wp:positionH>
                <wp:positionV relativeFrom="paragraph">
                  <wp:posOffset>3473318</wp:posOffset>
                </wp:positionV>
                <wp:extent cx="8161362" cy="570016"/>
                <wp:effectExtent l="0" t="0" r="11430" b="20955"/>
                <wp:wrapNone/>
                <wp:docPr id="8" name="Text Box 8"/>
                <wp:cNvGraphicFramePr/>
                <a:graphic xmlns:a="http://schemas.openxmlformats.org/drawingml/2006/main">
                  <a:graphicData uri="http://schemas.microsoft.com/office/word/2010/wordprocessingShape">
                    <wps:wsp>
                      <wps:cNvSpPr txBox="1"/>
                      <wps:spPr>
                        <a:xfrm>
                          <a:off x="0" y="0"/>
                          <a:ext cx="8161362" cy="570016"/>
                        </a:xfrm>
                        <a:prstGeom prst="rect">
                          <a:avLst/>
                        </a:prstGeom>
                        <a:solidFill>
                          <a:schemeClr val="lt1"/>
                        </a:solidFill>
                        <a:ln w="6350">
                          <a:solidFill>
                            <a:prstClr val="black"/>
                          </a:solidFill>
                        </a:ln>
                      </wps:spPr>
                      <wps:txbx>
                        <w:txbxContent>
                          <w:p w:rsidR="008374FA" w:rsidRPr="001E7DCF" w:rsidRDefault="008374FA" w:rsidP="008374FA">
                            <w:pPr>
                              <w:pStyle w:val="Caption"/>
                              <w:keepNext/>
                              <w:rPr>
                                <w:rFonts w:cs="Times New Roman"/>
                                <w:b w:val="0"/>
                                <w:sz w:val="22"/>
                                <w:szCs w:val="22"/>
                              </w:rPr>
                            </w:pPr>
                            <w:bookmarkStart w:id="0" w:name="_Ref450230428"/>
                            <w:bookmarkStart w:id="1" w:name="_Toc450230677"/>
                            <w:r w:rsidRPr="001E7DCF">
                              <w:rPr>
                                <w:sz w:val="22"/>
                                <w:szCs w:val="22"/>
                              </w:rPr>
                              <w:t xml:space="preserve">Figure </w:t>
                            </w:r>
                            <w:r w:rsidR="001E7DCF" w:rsidRPr="001E7DCF">
                              <w:rPr>
                                <w:sz w:val="22"/>
                                <w:szCs w:val="22"/>
                              </w:rPr>
                              <w:t>7</w:t>
                            </w:r>
                            <w:r w:rsidRPr="001E7DCF">
                              <w:rPr>
                                <w:sz w:val="22"/>
                                <w:szCs w:val="22"/>
                              </w:rPr>
                              <w:t>.</w:t>
                            </w:r>
                            <w:bookmarkEnd w:id="0"/>
                            <w:r w:rsidRPr="001E7DCF">
                              <w:rPr>
                                <w:b w:val="0"/>
                                <w:sz w:val="22"/>
                                <w:szCs w:val="22"/>
                              </w:rPr>
                              <w:t xml:space="preserve">  </w:t>
                            </w:r>
                            <w:r w:rsidRPr="001E7DCF">
                              <w:rPr>
                                <w:rFonts w:cs="Times New Roman"/>
                                <w:b w:val="0"/>
                                <w:sz w:val="22"/>
                                <w:szCs w:val="22"/>
                              </w:rPr>
                              <w:t>Principal response curves of C-Substrate utilization of treatments with the absorbance of untreated plots used as the baseline.</w:t>
                            </w:r>
                            <w:bookmarkEnd w:id="1"/>
                            <w:r w:rsidRPr="001E7DCF">
                              <w:rPr>
                                <w:rFonts w:cs="Times New Roman"/>
                                <w:b w:val="0"/>
                                <w:sz w:val="22"/>
                                <w:szCs w:val="22"/>
                              </w:rPr>
                              <w:t xml:space="preserve"> The scores of the 10 best fit substrates are shown on the right axis. The substrate names are listed in the table in descending order from highest to lowest scores. Arrows indicate the corresponding </w:t>
                            </w:r>
                            <w:r w:rsidR="00925D12" w:rsidRPr="001E7DCF">
                              <w:rPr>
                                <w:rFonts w:cs="Times New Roman"/>
                                <w:b w:val="0"/>
                                <w:sz w:val="22"/>
                                <w:szCs w:val="22"/>
                              </w:rPr>
                              <w:t>substrate</w:t>
                            </w:r>
                            <w:r w:rsidRPr="001E7DCF">
                              <w:rPr>
                                <w:rFonts w:cs="Times New Roman"/>
                                <w:b w:val="0"/>
                                <w:sz w:val="22"/>
                                <w:szCs w:val="22"/>
                              </w:rPr>
                              <w:t xml:space="preserve"> on the score axis with the </w:t>
                            </w:r>
                            <w:r w:rsidR="00925D12" w:rsidRPr="001E7DCF">
                              <w:rPr>
                                <w:rFonts w:cs="Times New Roman"/>
                                <w:b w:val="0"/>
                                <w:sz w:val="22"/>
                                <w:szCs w:val="22"/>
                              </w:rPr>
                              <w:t>name</w:t>
                            </w:r>
                            <w:r w:rsidRPr="001E7DCF">
                              <w:rPr>
                                <w:rFonts w:cs="Times New Roman"/>
                                <w:b w:val="0"/>
                                <w:sz w:val="22"/>
                                <w:szCs w:val="22"/>
                              </w:rPr>
                              <w:t xml:space="preserve"> in the table. </w:t>
                            </w:r>
                          </w:p>
                          <w:p w:rsidR="008374FA" w:rsidRDefault="001E7DCF">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DA38" id="Text Box 8" o:spid="_x0000_s1032" type="#_x0000_t202" style="position:absolute;left:0;text-align:left;margin-left:35.05pt;margin-top:273.5pt;width:642.65pt;height:4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" fillcolor="white [3201]" strokeweight=".5pt">
                <v:textbox>
                  <w:txbxContent>
                    <w:p w:rsidR="008374FA" w:rsidRPr="001E7DCF" w:rsidRDefault="008374FA" w:rsidP="008374FA">
                      <w:pPr>
                        <w:pStyle w:val="Caption"/>
                        <w:keepNext/>
                        <w:rPr>
                          <w:rFonts w:cs="Times New Roman"/>
                          <w:b w:val="0"/>
                          <w:sz w:val="22"/>
                          <w:szCs w:val="22"/>
                        </w:rPr>
                      </w:pPr>
                      <w:bookmarkStart w:id="2" w:name="_Ref450230428"/>
                      <w:bookmarkStart w:id="3" w:name="_Toc450230677"/>
                      <w:r w:rsidRPr="001E7DCF">
                        <w:rPr>
                          <w:sz w:val="22"/>
                          <w:szCs w:val="22"/>
                        </w:rPr>
                        <w:t xml:space="preserve">Figure </w:t>
                      </w:r>
                      <w:r w:rsidR="001E7DCF" w:rsidRPr="001E7DCF">
                        <w:rPr>
                          <w:sz w:val="22"/>
                          <w:szCs w:val="22"/>
                        </w:rPr>
                        <w:t>7</w:t>
                      </w:r>
                      <w:r w:rsidRPr="001E7DCF">
                        <w:rPr>
                          <w:sz w:val="22"/>
                          <w:szCs w:val="22"/>
                        </w:rPr>
                        <w:t>.</w:t>
                      </w:r>
                      <w:bookmarkEnd w:id="2"/>
                      <w:r w:rsidRPr="001E7DCF">
                        <w:rPr>
                          <w:b w:val="0"/>
                          <w:sz w:val="22"/>
                          <w:szCs w:val="22"/>
                        </w:rPr>
                        <w:t xml:space="preserve">  </w:t>
                      </w:r>
                      <w:r w:rsidRPr="001E7DCF">
                        <w:rPr>
                          <w:rFonts w:cs="Times New Roman"/>
                          <w:b w:val="0"/>
                          <w:sz w:val="22"/>
                          <w:szCs w:val="22"/>
                        </w:rPr>
                        <w:t>Principal response curves of C-Substrate utilization of treatments with the absorbance of untreated plots used as the baseline.</w:t>
                      </w:r>
                      <w:bookmarkEnd w:id="3"/>
                      <w:r w:rsidRPr="001E7DCF">
                        <w:rPr>
                          <w:rFonts w:cs="Times New Roman"/>
                          <w:b w:val="0"/>
                          <w:sz w:val="22"/>
                          <w:szCs w:val="22"/>
                        </w:rPr>
                        <w:t xml:space="preserve"> The scores of the 10 best fit substrates are shown on the right axis. The substrate names are listed in the table in descending order from highest to lowest scores. Arrows indicate the corresponding </w:t>
                      </w:r>
                      <w:r w:rsidR="00925D12" w:rsidRPr="001E7DCF">
                        <w:rPr>
                          <w:rFonts w:cs="Times New Roman"/>
                          <w:b w:val="0"/>
                          <w:sz w:val="22"/>
                          <w:szCs w:val="22"/>
                        </w:rPr>
                        <w:t>substrate</w:t>
                      </w:r>
                      <w:r w:rsidRPr="001E7DCF">
                        <w:rPr>
                          <w:rFonts w:cs="Times New Roman"/>
                          <w:b w:val="0"/>
                          <w:sz w:val="22"/>
                          <w:szCs w:val="22"/>
                        </w:rPr>
                        <w:t xml:space="preserve"> on the score axis with the </w:t>
                      </w:r>
                      <w:r w:rsidR="00925D12" w:rsidRPr="001E7DCF">
                        <w:rPr>
                          <w:rFonts w:cs="Times New Roman"/>
                          <w:b w:val="0"/>
                          <w:sz w:val="22"/>
                          <w:szCs w:val="22"/>
                        </w:rPr>
                        <w:t>name</w:t>
                      </w:r>
                      <w:r w:rsidRPr="001E7DCF">
                        <w:rPr>
                          <w:rFonts w:cs="Times New Roman"/>
                          <w:b w:val="0"/>
                          <w:sz w:val="22"/>
                          <w:szCs w:val="22"/>
                        </w:rPr>
                        <w:t xml:space="preserve"> in the table. </w:t>
                      </w:r>
                    </w:p>
                    <w:p w:rsidR="008374FA" w:rsidRDefault="001E7DCF">
                      <w:r>
                        <w:t>7</w:t>
                      </w:r>
                    </w:p>
                  </w:txbxContent>
                </v:textbox>
              </v:shape>
            </w:pict>
          </mc:Fallback>
        </mc:AlternateContent>
      </w:r>
    </w:p>
    <w:p w:rsidR="008374FA" w:rsidRDefault="008374FA"/>
    <w:p w:rsidR="001E7DCF" w:rsidRDefault="001E7DCF">
      <w:bookmarkStart w:id="4" w:name="_GoBack"/>
      <w:bookmarkEnd w:id="4"/>
    </w:p>
    <w:tbl>
      <w:tblPr>
        <w:tblW w:w="9277" w:type="dxa"/>
        <w:tblLook w:val="04A0" w:firstRow="1" w:lastRow="0" w:firstColumn="1" w:lastColumn="0" w:noHBand="0" w:noVBand="1"/>
      </w:tblPr>
      <w:tblGrid>
        <w:gridCol w:w="1661"/>
        <w:gridCol w:w="1661"/>
        <w:gridCol w:w="1077"/>
        <w:gridCol w:w="881"/>
        <w:gridCol w:w="1141"/>
        <w:gridCol w:w="1770"/>
        <w:gridCol w:w="1086"/>
      </w:tblGrid>
      <w:tr w:rsidR="001E7DCF" w:rsidRPr="001E7DCF" w:rsidTr="001E7DCF">
        <w:trPr>
          <w:trHeight w:val="417"/>
        </w:trPr>
        <w:tc>
          <w:tcPr>
            <w:tcW w:w="1661" w:type="dxa"/>
            <w:tcBorders>
              <w:top w:val="single" w:sz="4" w:space="0" w:color="auto"/>
              <w:left w:val="nil"/>
              <w:bottom w:val="single" w:sz="8" w:space="0" w:color="auto"/>
              <w:right w:val="nil"/>
            </w:tcBorders>
            <w:shd w:val="clear" w:color="auto" w:fill="auto"/>
            <w:noWrap/>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lastRenderedPageBreak/>
              <w:t> </w:t>
            </w:r>
          </w:p>
        </w:tc>
        <w:tc>
          <w:tcPr>
            <w:tcW w:w="1661"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Carbohydrates</w:t>
            </w:r>
          </w:p>
        </w:tc>
        <w:tc>
          <w:tcPr>
            <w:tcW w:w="107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Carbox./ Acetic Acids</w:t>
            </w:r>
          </w:p>
        </w:tc>
        <w:tc>
          <w:tcPr>
            <w:tcW w:w="881"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Amino Acids</w:t>
            </w:r>
          </w:p>
        </w:tc>
        <w:tc>
          <w:tcPr>
            <w:tcW w:w="1141"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Polymers</w:t>
            </w:r>
          </w:p>
        </w:tc>
        <w:tc>
          <w:tcPr>
            <w:tcW w:w="1770"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Amines/Amides</w:t>
            </w:r>
          </w:p>
        </w:tc>
        <w:tc>
          <w:tcPr>
            <w:tcW w:w="1086"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Species Richness</w:t>
            </w:r>
          </w:p>
        </w:tc>
      </w:tr>
      <w:tr w:rsidR="001E7DCF" w:rsidRPr="001E7DCF" w:rsidTr="001E7DCF">
        <w:trPr>
          <w:trHeight w:val="202"/>
        </w:trPr>
        <w:tc>
          <w:tcPr>
            <w:tcW w:w="1661"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Bokashi</w:t>
            </w:r>
          </w:p>
        </w:tc>
        <w:tc>
          <w:tcPr>
            <w:tcW w:w="16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8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4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7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31.00</w:t>
            </w:r>
          </w:p>
        </w:tc>
      </w:tr>
      <w:tr w:rsidR="001E7DCF" w:rsidRPr="001E7DCF" w:rsidTr="001E7DCF">
        <w:trPr>
          <w:trHeight w:val="437"/>
        </w:trPr>
        <w:tc>
          <w:tcPr>
            <w:tcW w:w="1661"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Thermophilic Compost</w:t>
            </w:r>
          </w:p>
        </w:tc>
        <w:tc>
          <w:tcPr>
            <w:tcW w:w="16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0.90</w:t>
            </w:r>
          </w:p>
        </w:tc>
        <w:tc>
          <w:tcPr>
            <w:tcW w:w="10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0.85</w:t>
            </w:r>
          </w:p>
        </w:tc>
        <w:tc>
          <w:tcPr>
            <w:tcW w:w="8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0.78</w:t>
            </w:r>
          </w:p>
        </w:tc>
        <w:tc>
          <w:tcPr>
            <w:tcW w:w="114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0.92</w:t>
            </w:r>
          </w:p>
        </w:tc>
        <w:tc>
          <w:tcPr>
            <w:tcW w:w="177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08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26.67</w:t>
            </w:r>
          </w:p>
        </w:tc>
      </w:tr>
      <w:tr w:rsidR="001E7DCF" w:rsidRPr="001E7DCF" w:rsidTr="001E7DCF">
        <w:trPr>
          <w:trHeight w:val="284"/>
        </w:trPr>
        <w:tc>
          <w:tcPr>
            <w:tcW w:w="1661"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Vermicompost</w:t>
            </w:r>
          </w:p>
        </w:tc>
        <w:tc>
          <w:tcPr>
            <w:tcW w:w="16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0.97</w:t>
            </w:r>
          </w:p>
        </w:tc>
        <w:tc>
          <w:tcPr>
            <w:tcW w:w="10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8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0.94</w:t>
            </w:r>
          </w:p>
        </w:tc>
        <w:tc>
          <w:tcPr>
            <w:tcW w:w="114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7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30.33</w:t>
            </w:r>
          </w:p>
        </w:tc>
      </w:tr>
      <w:tr w:rsidR="001E7DCF" w:rsidRPr="001E7DCF" w:rsidTr="001E7DCF">
        <w:trPr>
          <w:trHeight w:val="202"/>
        </w:trPr>
        <w:tc>
          <w:tcPr>
            <w:tcW w:w="1661" w:type="dxa"/>
            <w:tcBorders>
              <w:top w:val="nil"/>
              <w:left w:val="nil"/>
              <w:bottom w:val="single" w:sz="4" w:space="0" w:color="auto"/>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Pr="001E7DCF">
              <w:rPr>
                <w:rFonts w:ascii="Calibri" w:eastAsia="Times New Roman" w:hAnsi="Calibri" w:cs="Calibri"/>
                <w:color w:val="000000"/>
                <w:sz w:val="20"/>
                <w:szCs w:val="20"/>
              </w:rPr>
              <w:t xml:space="preserve">Control </w:t>
            </w:r>
          </w:p>
        </w:tc>
        <w:tc>
          <w:tcPr>
            <w:tcW w:w="1661"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0.80</w:t>
            </w:r>
          </w:p>
        </w:tc>
        <w:tc>
          <w:tcPr>
            <w:tcW w:w="107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0.74</w:t>
            </w:r>
          </w:p>
        </w:tc>
        <w:tc>
          <w:tcPr>
            <w:tcW w:w="881"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0.72</w:t>
            </w:r>
          </w:p>
        </w:tc>
        <w:tc>
          <w:tcPr>
            <w:tcW w:w="1141"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70"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6"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25.00</w:t>
            </w:r>
          </w:p>
        </w:tc>
      </w:tr>
    </w:tbl>
    <w:p w:rsidR="001E7DCF" w:rsidRDefault="001E7DCF">
      <w:r>
        <w:t xml:space="preserve">  </w:t>
      </w:r>
      <w:r w:rsidRPr="001E7DCF">
        <w:rPr>
          <w:b/>
        </w:rPr>
        <w:t>Table 2</w:t>
      </w:r>
      <w:r>
        <w:t>. Proportion of carbon-substrate guilds used by treatment on sample date 5/16/16.</w:t>
      </w:r>
    </w:p>
    <w:tbl>
      <w:tblPr>
        <w:tblW w:w="9297" w:type="dxa"/>
        <w:tblLook w:val="04A0" w:firstRow="1" w:lastRow="0" w:firstColumn="1" w:lastColumn="0" w:noHBand="0" w:noVBand="1"/>
      </w:tblPr>
      <w:tblGrid>
        <w:gridCol w:w="1653"/>
        <w:gridCol w:w="1653"/>
        <w:gridCol w:w="1136"/>
        <w:gridCol w:w="877"/>
        <w:gridCol w:w="1136"/>
        <w:gridCol w:w="1761"/>
        <w:gridCol w:w="1081"/>
      </w:tblGrid>
      <w:tr w:rsidR="001E7DCF" w:rsidRPr="001E7DCF" w:rsidTr="001E7DCF">
        <w:trPr>
          <w:trHeight w:val="617"/>
        </w:trPr>
        <w:tc>
          <w:tcPr>
            <w:tcW w:w="1653" w:type="dxa"/>
            <w:tcBorders>
              <w:top w:val="single" w:sz="4" w:space="0" w:color="auto"/>
              <w:left w:val="nil"/>
              <w:bottom w:val="single" w:sz="8" w:space="0" w:color="auto"/>
              <w:right w:val="nil"/>
            </w:tcBorders>
            <w:shd w:val="clear" w:color="auto" w:fill="auto"/>
            <w:noWrap/>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w:t>
            </w:r>
          </w:p>
        </w:tc>
        <w:tc>
          <w:tcPr>
            <w:tcW w:w="1653"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Carbohydrates</w:t>
            </w:r>
          </w:p>
        </w:tc>
        <w:tc>
          <w:tcPr>
            <w:tcW w:w="1136"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Carbox./ Acetic Acids</w:t>
            </w:r>
          </w:p>
        </w:tc>
        <w:tc>
          <w:tcPr>
            <w:tcW w:w="87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Amino Acids</w:t>
            </w:r>
          </w:p>
        </w:tc>
        <w:tc>
          <w:tcPr>
            <w:tcW w:w="1136"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Polymers</w:t>
            </w:r>
          </w:p>
        </w:tc>
        <w:tc>
          <w:tcPr>
            <w:tcW w:w="1761"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Amines/Amides</w:t>
            </w:r>
          </w:p>
        </w:tc>
        <w:tc>
          <w:tcPr>
            <w:tcW w:w="1081"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Species Richness</w:t>
            </w:r>
          </w:p>
        </w:tc>
      </w:tr>
      <w:tr w:rsidR="001E7DCF" w:rsidRPr="001E7DCF" w:rsidTr="001E7DCF">
        <w:trPr>
          <w:trHeight w:val="300"/>
        </w:trPr>
        <w:tc>
          <w:tcPr>
            <w:tcW w:w="1653"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Bokashi</w:t>
            </w:r>
          </w:p>
        </w:tc>
        <w:tc>
          <w:tcPr>
            <w:tcW w:w="165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0.96</w:t>
            </w:r>
          </w:p>
        </w:tc>
        <w:tc>
          <w:tcPr>
            <w:tcW w:w="8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0.94</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0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30.00</w:t>
            </w:r>
          </w:p>
        </w:tc>
      </w:tr>
      <w:tr w:rsidR="001E7DCF" w:rsidRPr="001E7DCF" w:rsidTr="001E7DCF">
        <w:trPr>
          <w:trHeight w:val="602"/>
        </w:trPr>
        <w:tc>
          <w:tcPr>
            <w:tcW w:w="1653"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Thermophilic Compost</w:t>
            </w:r>
          </w:p>
        </w:tc>
        <w:tc>
          <w:tcPr>
            <w:tcW w:w="165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0.93</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0.81</w:t>
            </w:r>
          </w:p>
        </w:tc>
        <w:tc>
          <w:tcPr>
            <w:tcW w:w="8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27.67</w:t>
            </w:r>
          </w:p>
        </w:tc>
      </w:tr>
      <w:tr w:rsidR="001E7DCF" w:rsidRPr="001E7DCF" w:rsidTr="001E7DCF">
        <w:trPr>
          <w:trHeight w:val="300"/>
        </w:trPr>
        <w:tc>
          <w:tcPr>
            <w:tcW w:w="1653"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Vermicompost</w:t>
            </w:r>
          </w:p>
        </w:tc>
        <w:tc>
          <w:tcPr>
            <w:tcW w:w="165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0.93</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0.81</w:t>
            </w:r>
          </w:p>
        </w:tc>
        <w:tc>
          <w:tcPr>
            <w:tcW w:w="87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0.78</w:t>
            </w:r>
          </w:p>
        </w:tc>
        <w:tc>
          <w:tcPr>
            <w:tcW w:w="1136"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6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1"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27.33</w:t>
            </w:r>
          </w:p>
        </w:tc>
      </w:tr>
      <w:tr w:rsidR="001E7DCF" w:rsidRPr="001E7DCF" w:rsidTr="001E7DCF">
        <w:trPr>
          <w:trHeight w:val="300"/>
        </w:trPr>
        <w:tc>
          <w:tcPr>
            <w:tcW w:w="1653" w:type="dxa"/>
            <w:tcBorders>
              <w:top w:val="nil"/>
              <w:left w:val="nil"/>
              <w:bottom w:val="single" w:sz="4" w:space="0" w:color="auto"/>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xml:space="preserve">Control </w:t>
            </w:r>
          </w:p>
        </w:tc>
        <w:tc>
          <w:tcPr>
            <w:tcW w:w="1653"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0.90</w:t>
            </w:r>
          </w:p>
        </w:tc>
        <w:tc>
          <w:tcPr>
            <w:tcW w:w="1136"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0.89</w:t>
            </w:r>
          </w:p>
        </w:tc>
        <w:tc>
          <w:tcPr>
            <w:tcW w:w="87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0.67</w:t>
            </w:r>
          </w:p>
        </w:tc>
        <w:tc>
          <w:tcPr>
            <w:tcW w:w="1136"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761"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081"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27.00</w:t>
            </w:r>
          </w:p>
        </w:tc>
      </w:tr>
    </w:tbl>
    <w:p w:rsidR="001E7DCF" w:rsidRDefault="001E7DCF" w:rsidP="001E7DCF">
      <w:r w:rsidRPr="001E7DCF">
        <w:rPr>
          <w:b/>
        </w:rPr>
        <w:t xml:space="preserve">Table </w:t>
      </w:r>
      <w:r>
        <w:rPr>
          <w:b/>
        </w:rPr>
        <w:t>3</w:t>
      </w:r>
      <w:r>
        <w:t xml:space="preserve">. Proportion of carbon-substrate guilds used </w:t>
      </w:r>
      <w:r>
        <w:t>by treatment on sample date 6/2</w:t>
      </w:r>
      <w:r>
        <w:t>/16.</w:t>
      </w:r>
    </w:p>
    <w:tbl>
      <w:tblPr>
        <w:tblW w:w="9297" w:type="dxa"/>
        <w:tblLook w:val="04A0" w:firstRow="1" w:lastRow="0" w:firstColumn="1" w:lastColumn="0" w:noHBand="0" w:noVBand="1"/>
      </w:tblPr>
      <w:tblGrid>
        <w:gridCol w:w="1600"/>
        <w:gridCol w:w="1540"/>
        <w:gridCol w:w="1427"/>
        <w:gridCol w:w="1093"/>
        <w:gridCol w:w="997"/>
        <w:gridCol w:w="1502"/>
        <w:gridCol w:w="1138"/>
      </w:tblGrid>
      <w:tr w:rsidR="001E7DCF" w:rsidRPr="001E7DCF" w:rsidTr="001E7DCF">
        <w:trPr>
          <w:trHeight w:val="615"/>
        </w:trPr>
        <w:tc>
          <w:tcPr>
            <w:tcW w:w="1600" w:type="dxa"/>
            <w:tcBorders>
              <w:top w:val="single" w:sz="4" w:space="0" w:color="auto"/>
              <w:left w:val="nil"/>
              <w:bottom w:val="single" w:sz="8" w:space="0" w:color="auto"/>
              <w:right w:val="nil"/>
            </w:tcBorders>
            <w:shd w:val="clear" w:color="auto" w:fill="auto"/>
            <w:noWrap/>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w:t>
            </w:r>
          </w:p>
        </w:tc>
        <w:tc>
          <w:tcPr>
            <w:tcW w:w="1540"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Carbohydrates</w:t>
            </w:r>
          </w:p>
        </w:tc>
        <w:tc>
          <w:tcPr>
            <w:tcW w:w="142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Carbox./ Acetic Acids</w:t>
            </w:r>
          </w:p>
        </w:tc>
        <w:tc>
          <w:tcPr>
            <w:tcW w:w="1093"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Amino Acids</w:t>
            </w:r>
          </w:p>
        </w:tc>
        <w:tc>
          <w:tcPr>
            <w:tcW w:w="99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Polymers</w:t>
            </w:r>
          </w:p>
        </w:tc>
        <w:tc>
          <w:tcPr>
            <w:tcW w:w="1502"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Amines/Amides</w:t>
            </w:r>
          </w:p>
        </w:tc>
        <w:tc>
          <w:tcPr>
            <w:tcW w:w="1138"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Species Richness</w:t>
            </w:r>
          </w:p>
        </w:tc>
      </w:tr>
      <w:tr w:rsidR="001E7DCF" w:rsidRPr="001E7DCF" w:rsidTr="001E7DCF">
        <w:trPr>
          <w:trHeight w:val="3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Bokashi</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0.96</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30.67</w:t>
            </w:r>
          </w:p>
        </w:tc>
      </w:tr>
      <w:tr w:rsidR="001E7DCF" w:rsidRPr="001E7DCF" w:rsidTr="001E7DCF">
        <w:trPr>
          <w:trHeight w:val="6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Thermophilic Compost</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0.85</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27.00</w:t>
            </w:r>
          </w:p>
        </w:tc>
      </w:tr>
      <w:tr w:rsidR="001E7DCF" w:rsidRPr="001E7DCF" w:rsidTr="001E7DCF">
        <w:trPr>
          <w:trHeight w:val="3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Vermicompost</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0.90</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0.85</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0.78</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27.00</w:t>
            </w:r>
          </w:p>
        </w:tc>
      </w:tr>
      <w:tr w:rsidR="001E7DCF" w:rsidRPr="001E7DCF" w:rsidTr="001E7DCF">
        <w:trPr>
          <w:trHeight w:val="300"/>
        </w:trPr>
        <w:tc>
          <w:tcPr>
            <w:tcW w:w="1600" w:type="dxa"/>
            <w:tcBorders>
              <w:top w:val="nil"/>
              <w:left w:val="nil"/>
              <w:bottom w:val="single" w:sz="4" w:space="0" w:color="auto"/>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xml:space="preserve">Control </w:t>
            </w:r>
          </w:p>
        </w:tc>
        <w:tc>
          <w:tcPr>
            <w:tcW w:w="1540"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0.97</w:t>
            </w:r>
          </w:p>
        </w:tc>
        <w:tc>
          <w:tcPr>
            <w:tcW w:w="142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0.85</w:t>
            </w:r>
          </w:p>
        </w:tc>
        <w:tc>
          <w:tcPr>
            <w:tcW w:w="1093"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99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502"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38"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28.33</w:t>
            </w:r>
          </w:p>
        </w:tc>
      </w:tr>
    </w:tbl>
    <w:p w:rsidR="001E7DCF" w:rsidRDefault="001E7DCF" w:rsidP="001E7DCF">
      <w:r>
        <w:rPr>
          <w:b/>
        </w:rPr>
        <w:t>Table 4</w:t>
      </w:r>
      <w:r>
        <w:t xml:space="preserve">. Proportion of carbon-substrate guilds used </w:t>
      </w:r>
      <w:r>
        <w:t>by treatment on sample date 6/23</w:t>
      </w:r>
      <w:r>
        <w:t>/16.</w:t>
      </w:r>
    </w:p>
    <w:tbl>
      <w:tblPr>
        <w:tblW w:w="9297" w:type="dxa"/>
        <w:tblLook w:val="04A0" w:firstRow="1" w:lastRow="0" w:firstColumn="1" w:lastColumn="0" w:noHBand="0" w:noVBand="1"/>
      </w:tblPr>
      <w:tblGrid>
        <w:gridCol w:w="1600"/>
        <w:gridCol w:w="1540"/>
        <w:gridCol w:w="1427"/>
        <w:gridCol w:w="1093"/>
        <w:gridCol w:w="997"/>
        <w:gridCol w:w="1502"/>
        <w:gridCol w:w="1138"/>
      </w:tblGrid>
      <w:tr w:rsidR="001E7DCF" w:rsidRPr="001E7DCF" w:rsidTr="001E7DCF">
        <w:trPr>
          <w:trHeight w:val="615"/>
        </w:trPr>
        <w:tc>
          <w:tcPr>
            <w:tcW w:w="1600" w:type="dxa"/>
            <w:tcBorders>
              <w:top w:val="single" w:sz="4" w:space="0" w:color="auto"/>
              <w:left w:val="nil"/>
              <w:bottom w:val="single" w:sz="8" w:space="0" w:color="auto"/>
              <w:right w:val="nil"/>
            </w:tcBorders>
            <w:shd w:val="clear" w:color="auto" w:fill="auto"/>
            <w:noWrap/>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w:t>
            </w:r>
          </w:p>
        </w:tc>
        <w:tc>
          <w:tcPr>
            <w:tcW w:w="1540"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Carbohydrates</w:t>
            </w:r>
          </w:p>
        </w:tc>
        <w:tc>
          <w:tcPr>
            <w:tcW w:w="142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Carbox./ Acetic Acids</w:t>
            </w:r>
          </w:p>
        </w:tc>
        <w:tc>
          <w:tcPr>
            <w:tcW w:w="1093"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Amino Acids</w:t>
            </w:r>
          </w:p>
        </w:tc>
        <w:tc>
          <w:tcPr>
            <w:tcW w:w="997"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Polymers</w:t>
            </w:r>
          </w:p>
        </w:tc>
        <w:tc>
          <w:tcPr>
            <w:tcW w:w="1502"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Amines/Amides</w:t>
            </w:r>
          </w:p>
        </w:tc>
        <w:tc>
          <w:tcPr>
            <w:tcW w:w="1138" w:type="dxa"/>
            <w:tcBorders>
              <w:top w:val="single" w:sz="4" w:space="0" w:color="auto"/>
              <w:left w:val="nil"/>
              <w:bottom w:val="single" w:sz="8" w:space="0" w:color="auto"/>
              <w:right w:val="nil"/>
            </w:tcBorders>
            <w:shd w:val="clear" w:color="auto" w:fill="auto"/>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Species Richness</w:t>
            </w:r>
          </w:p>
        </w:tc>
      </w:tr>
      <w:tr w:rsidR="001E7DCF" w:rsidRPr="001E7DCF" w:rsidTr="001E7DCF">
        <w:trPr>
          <w:trHeight w:val="3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Bokashi</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0.77</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0.70</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0.78</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0.92</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1.00</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24.33</w:t>
            </w:r>
          </w:p>
        </w:tc>
      </w:tr>
      <w:tr w:rsidR="001E7DCF" w:rsidRPr="001E7DCF" w:rsidTr="001E7DCF">
        <w:trPr>
          <w:trHeight w:val="6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Thermophilic Compost</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0.60</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0.37</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0.44</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0.67</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0.83</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16.33</w:t>
            </w:r>
          </w:p>
        </w:tc>
      </w:tr>
      <w:tr w:rsidR="001E7DCF" w:rsidRPr="001E7DCF" w:rsidTr="001E7DCF">
        <w:trPr>
          <w:trHeight w:val="300"/>
        </w:trPr>
        <w:tc>
          <w:tcPr>
            <w:tcW w:w="1600" w:type="dxa"/>
            <w:tcBorders>
              <w:top w:val="nil"/>
              <w:left w:val="nil"/>
              <w:bottom w:val="nil"/>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Vermicompost</w:t>
            </w:r>
          </w:p>
        </w:tc>
        <w:tc>
          <w:tcPr>
            <w:tcW w:w="1540"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0.87</w:t>
            </w:r>
          </w:p>
        </w:tc>
        <w:tc>
          <w:tcPr>
            <w:tcW w:w="142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0.44</w:t>
            </w:r>
          </w:p>
        </w:tc>
        <w:tc>
          <w:tcPr>
            <w:tcW w:w="1093"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0.89</w:t>
            </w:r>
          </w:p>
        </w:tc>
        <w:tc>
          <w:tcPr>
            <w:tcW w:w="997"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0.58</w:t>
            </w:r>
          </w:p>
        </w:tc>
        <w:tc>
          <w:tcPr>
            <w:tcW w:w="1502"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0.50</w:t>
            </w:r>
          </w:p>
        </w:tc>
        <w:tc>
          <w:tcPr>
            <w:tcW w:w="1138" w:type="dxa"/>
            <w:tcBorders>
              <w:top w:val="nil"/>
              <w:left w:val="nil"/>
              <w:bottom w:val="nil"/>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21.33</w:t>
            </w:r>
          </w:p>
        </w:tc>
      </w:tr>
      <w:tr w:rsidR="001E7DCF" w:rsidRPr="001E7DCF" w:rsidTr="001E7DCF">
        <w:trPr>
          <w:trHeight w:val="300"/>
        </w:trPr>
        <w:tc>
          <w:tcPr>
            <w:tcW w:w="1600" w:type="dxa"/>
            <w:tcBorders>
              <w:top w:val="nil"/>
              <w:left w:val="nil"/>
              <w:bottom w:val="single" w:sz="4" w:space="0" w:color="auto"/>
              <w:right w:val="nil"/>
            </w:tcBorders>
            <w:shd w:val="clear" w:color="auto" w:fill="auto"/>
            <w:vAlign w:val="bottom"/>
            <w:hideMark/>
          </w:tcPr>
          <w:p w:rsidR="001E7DCF" w:rsidRPr="001E7DCF" w:rsidRDefault="001E7DCF" w:rsidP="001E7DCF">
            <w:pPr>
              <w:spacing w:after="0" w:line="240" w:lineRule="auto"/>
              <w:rPr>
                <w:rFonts w:ascii="Calibri" w:eastAsia="Times New Roman" w:hAnsi="Calibri" w:cs="Calibri"/>
                <w:color w:val="000000"/>
                <w:sz w:val="20"/>
                <w:szCs w:val="20"/>
              </w:rPr>
            </w:pPr>
            <w:r w:rsidRPr="001E7DCF">
              <w:rPr>
                <w:rFonts w:ascii="Calibri" w:eastAsia="Times New Roman" w:hAnsi="Calibri" w:cs="Calibri"/>
                <w:color w:val="000000"/>
                <w:sz w:val="20"/>
                <w:szCs w:val="20"/>
              </w:rPr>
              <w:t xml:space="preserve">Control </w:t>
            </w:r>
          </w:p>
        </w:tc>
        <w:tc>
          <w:tcPr>
            <w:tcW w:w="1540"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0.80</w:t>
            </w:r>
          </w:p>
        </w:tc>
        <w:tc>
          <w:tcPr>
            <w:tcW w:w="142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0.41</w:t>
            </w:r>
          </w:p>
        </w:tc>
        <w:tc>
          <w:tcPr>
            <w:tcW w:w="1093"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0.72</w:t>
            </w:r>
          </w:p>
        </w:tc>
        <w:tc>
          <w:tcPr>
            <w:tcW w:w="997"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0.58</w:t>
            </w:r>
          </w:p>
        </w:tc>
        <w:tc>
          <w:tcPr>
            <w:tcW w:w="1502"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0.50</w:t>
            </w:r>
          </w:p>
        </w:tc>
        <w:tc>
          <w:tcPr>
            <w:tcW w:w="1138" w:type="dxa"/>
            <w:tcBorders>
              <w:top w:val="nil"/>
              <w:left w:val="nil"/>
              <w:bottom w:val="single" w:sz="4" w:space="0" w:color="auto"/>
              <w:right w:val="nil"/>
            </w:tcBorders>
            <w:shd w:val="clear" w:color="auto" w:fill="auto"/>
            <w:noWrap/>
            <w:vAlign w:val="bottom"/>
            <w:hideMark/>
          </w:tcPr>
          <w:p w:rsidR="001E7DCF" w:rsidRPr="001E7DCF" w:rsidRDefault="001E7DCF" w:rsidP="001E7DCF">
            <w:pPr>
              <w:spacing w:after="0" w:line="240" w:lineRule="auto"/>
              <w:jc w:val="center"/>
              <w:rPr>
                <w:rFonts w:ascii="Calibri" w:eastAsia="Times New Roman" w:hAnsi="Calibri" w:cs="Calibri"/>
                <w:color w:val="000000"/>
                <w:sz w:val="20"/>
                <w:szCs w:val="20"/>
              </w:rPr>
            </w:pPr>
            <w:r w:rsidRPr="001E7DCF">
              <w:rPr>
                <w:rFonts w:ascii="Calibri" w:eastAsia="Times New Roman" w:hAnsi="Calibri" w:cs="Calibri"/>
                <w:color w:val="000000"/>
                <w:sz w:val="20"/>
                <w:szCs w:val="20"/>
              </w:rPr>
              <w:t>19.33</w:t>
            </w:r>
          </w:p>
        </w:tc>
      </w:tr>
    </w:tbl>
    <w:p w:rsidR="001E7DCF" w:rsidRDefault="001E7DCF" w:rsidP="001E7DCF">
      <w:r w:rsidRPr="001E7DCF">
        <w:rPr>
          <w:b/>
        </w:rPr>
        <w:t xml:space="preserve">Table </w:t>
      </w:r>
      <w:r>
        <w:rPr>
          <w:b/>
        </w:rPr>
        <w:t>5</w:t>
      </w:r>
      <w:r>
        <w:t xml:space="preserve">. Proportion of carbon-substrate guilds used </w:t>
      </w:r>
      <w:r>
        <w:t>by treatment on sample date 7/30</w:t>
      </w:r>
      <w:r>
        <w:t>/16.</w:t>
      </w:r>
    </w:p>
    <w:p w:rsidR="001E7DCF" w:rsidRDefault="001E7DCF"/>
    <w:sectPr w:rsidR="001E7DCF" w:rsidSect="005970A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5D1" w:rsidRDefault="001B65D1" w:rsidP="00320617">
      <w:pPr>
        <w:spacing w:after="0" w:line="240" w:lineRule="auto"/>
      </w:pPr>
      <w:r>
        <w:separator/>
      </w:r>
    </w:p>
  </w:endnote>
  <w:endnote w:type="continuationSeparator" w:id="0">
    <w:p w:rsidR="001B65D1" w:rsidRDefault="001B65D1" w:rsidP="00320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5D1" w:rsidRDefault="001B65D1" w:rsidP="00320617">
      <w:pPr>
        <w:spacing w:after="0" w:line="240" w:lineRule="auto"/>
      </w:pPr>
      <w:r>
        <w:separator/>
      </w:r>
    </w:p>
  </w:footnote>
  <w:footnote w:type="continuationSeparator" w:id="0">
    <w:p w:rsidR="001B65D1" w:rsidRDefault="001B65D1" w:rsidP="003206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A0008"/>
    <w:multiLevelType w:val="hybridMultilevel"/>
    <w:tmpl w:val="0932021A"/>
    <w:lvl w:ilvl="0" w:tplc="BA4EB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7018EE"/>
    <w:multiLevelType w:val="hybridMultilevel"/>
    <w:tmpl w:val="91D8B594"/>
    <w:lvl w:ilvl="0" w:tplc="3342F3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7DE"/>
    <w:rsid w:val="00005E32"/>
    <w:rsid w:val="00155703"/>
    <w:rsid w:val="001B65D1"/>
    <w:rsid w:val="001E7DCF"/>
    <w:rsid w:val="00320617"/>
    <w:rsid w:val="003833E2"/>
    <w:rsid w:val="003D1A39"/>
    <w:rsid w:val="005662D7"/>
    <w:rsid w:val="005970A6"/>
    <w:rsid w:val="005C2585"/>
    <w:rsid w:val="006757DE"/>
    <w:rsid w:val="006C4A66"/>
    <w:rsid w:val="00815E01"/>
    <w:rsid w:val="0082374F"/>
    <w:rsid w:val="008374FA"/>
    <w:rsid w:val="00925D12"/>
    <w:rsid w:val="00935EC0"/>
    <w:rsid w:val="00A42EE1"/>
    <w:rsid w:val="00AB2FC7"/>
    <w:rsid w:val="00AB38E6"/>
    <w:rsid w:val="00BD5A4B"/>
    <w:rsid w:val="00CE0072"/>
    <w:rsid w:val="00D335EC"/>
    <w:rsid w:val="00DC1D36"/>
    <w:rsid w:val="00DE4897"/>
    <w:rsid w:val="00DE5722"/>
    <w:rsid w:val="00E416BD"/>
    <w:rsid w:val="00F7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82F2"/>
  <w15:chartTrackingRefBased/>
  <w15:docId w15:val="{CE3ECAC0-8403-48D4-BDAE-00A03354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7DE"/>
    <w:pPr>
      <w:ind w:left="720"/>
      <w:contextualSpacing/>
    </w:pPr>
  </w:style>
  <w:style w:type="paragraph" w:styleId="Header">
    <w:name w:val="header"/>
    <w:basedOn w:val="Normal"/>
    <w:link w:val="HeaderChar"/>
    <w:uiPriority w:val="99"/>
    <w:unhideWhenUsed/>
    <w:rsid w:val="00320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617"/>
  </w:style>
  <w:style w:type="paragraph" w:styleId="Footer">
    <w:name w:val="footer"/>
    <w:basedOn w:val="Normal"/>
    <w:link w:val="FooterChar"/>
    <w:uiPriority w:val="99"/>
    <w:unhideWhenUsed/>
    <w:rsid w:val="00320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617"/>
  </w:style>
  <w:style w:type="paragraph" w:styleId="Caption">
    <w:name w:val="caption"/>
    <w:basedOn w:val="Normal"/>
    <w:next w:val="Normal"/>
    <w:uiPriority w:val="35"/>
    <w:unhideWhenUsed/>
    <w:qFormat/>
    <w:rsid w:val="008374FA"/>
    <w:pPr>
      <w:spacing w:after="0" w:line="240" w:lineRule="auto"/>
    </w:pPr>
    <w:rPr>
      <w:rFonts w:ascii="Times New Roman" w:hAnsi="Times New Roman"/>
      <w:b/>
      <w:bCs/>
      <w:color w:val="000000" w:themeColor="tex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4714">
      <w:bodyDiv w:val="1"/>
      <w:marLeft w:val="0"/>
      <w:marRight w:val="0"/>
      <w:marTop w:val="0"/>
      <w:marBottom w:val="0"/>
      <w:divBdr>
        <w:top w:val="none" w:sz="0" w:space="0" w:color="auto"/>
        <w:left w:val="none" w:sz="0" w:space="0" w:color="auto"/>
        <w:bottom w:val="none" w:sz="0" w:space="0" w:color="auto"/>
        <w:right w:val="none" w:sz="0" w:space="0" w:color="auto"/>
      </w:divBdr>
    </w:div>
    <w:div w:id="458883721">
      <w:bodyDiv w:val="1"/>
      <w:marLeft w:val="0"/>
      <w:marRight w:val="0"/>
      <w:marTop w:val="0"/>
      <w:marBottom w:val="0"/>
      <w:divBdr>
        <w:top w:val="none" w:sz="0" w:space="0" w:color="auto"/>
        <w:left w:val="none" w:sz="0" w:space="0" w:color="auto"/>
        <w:bottom w:val="none" w:sz="0" w:space="0" w:color="auto"/>
        <w:right w:val="none" w:sz="0" w:space="0" w:color="auto"/>
      </w:divBdr>
    </w:div>
    <w:div w:id="711199225">
      <w:bodyDiv w:val="1"/>
      <w:marLeft w:val="0"/>
      <w:marRight w:val="0"/>
      <w:marTop w:val="0"/>
      <w:marBottom w:val="0"/>
      <w:divBdr>
        <w:top w:val="none" w:sz="0" w:space="0" w:color="auto"/>
        <w:left w:val="none" w:sz="0" w:space="0" w:color="auto"/>
        <w:bottom w:val="none" w:sz="0" w:space="0" w:color="auto"/>
        <w:right w:val="none" w:sz="0" w:space="0" w:color="auto"/>
      </w:divBdr>
    </w:div>
    <w:div w:id="716321834">
      <w:bodyDiv w:val="1"/>
      <w:marLeft w:val="0"/>
      <w:marRight w:val="0"/>
      <w:marTop w:val="0"/>
      <w:marBottom w:val="0"/>
      <w:divBdr>
        <w:top w:val="none" w:sz="0" w:space="0" w:color="auto"/>
        <w:left w:val="none" w:sz="0" w:space="0" w:color="auto"/>
        <w:bottom w:val="none" w:sz="0" w:space="0" w:color="auto"/>
        <w:right w:val="none" w:sz="0" w:space="0" w:color="auto"/>
      </w:divBdr>
    </w:div>
    <w:div w:id="717824149">
      <w:bodyDiv w:val="1"/>
      <w:marLeft w:val="0"/>
      <w:marRight w:val="0"/>
      <w:marTop w:val="0"/>
      <w:marBottom w:val="0"/>
      <w:divBdr>
        <w:top w:val="none" w:sz="0" w:space="0" w:color="auto"/>
        <w:left w:val="none" w:sz="0" w:space="0" w:color="auto"/>
        <w:bottom w:val="none" w:sz="0" w:space="0" w:color="auto"/>
        <w:right w:val="none" w:sz="0" w:space="0" w:color="auto"/>
      </w:divBdr>
    </w:div>
    <w:div w:id="1646353296">
      <w:bodyDiv w:val="1"/>
      <w:marLeft w:val="0"/>
      <w:marRight w:val="0"/>
      <w:marTop w:val="0"/>
      <w:marBottom w:val="0"/>
      <w:divBdr>
        <w:top w:val="none" w:sz="0" w:space="0" w:color="auto"/>
        <w:left w:val="none" w:sz="0" w:space="0" w:color="auto"/>
        <w:bottom w:val="none" w:sz="0" w:space="0" w:color="auto"/>
        <w:right w:val="none" w:sz="0" w:space="0" w:color="auto"/>
      </w:divBdr>
    </w:div>
    <w:div w:id="182146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1525</TotalTime>
  <Pages>4</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Mae</dc:creator>
  <cp:keywords/>
  <dc:description/>
  <cp:lastModifiedBy>Dana Christel</cp:lastModifiedBy>
  <cp:revision>9</cp:revision>
  <dcterms:created xsi:type="dcterms:W3CDTF">2016-08-19T18:57:00Z</dcterms:created>
  <dcterms:modified xsi:type="dcterms:W3CDTF">2016-08-25T14:50:00Z</dcterms:modified>
</cp:coreProperties>
</file>