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FB" w:rsidRDefault="00EA37DA">
      <w:r>
        <w:rPr>
          <w:noProof/>
        </w:rPr>
        <w:drawing>
          <wp:inline distT="0" distB="0" distL="0" distR="0" wp14:anchorId="3834C7A9">
            <wp:extent cx="4876800" cy="187937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00" cy="189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F30" w:rsidRDefault="008A3F30">
      <w:r>
        <w:t xml:space="preserve">Figure 1. </w:t>
      </w:r>
      <w:r w:rsidRPr="008A3F30">
        <w:t>Growth trends of dry matter (biomass) during early (Perio</w:t>
      </w:r>
      <w:r>
        <w:t>d 1) and late summer (Period 2) of 2013 and 2014.</w:t>
      </w:r>
    </w:p>
    <w:p w:rsidR="008A3F30" w:rsidRDefault="008A3F30"/>
    <w:p w:rsidR="008A3F30" w:rsidRDefault="008A3F30"/>
    <w:p w:rsidR="00EA37DA" w:rsidRDefault="00EA37DA">
      <w:r>
        <w:rPr>
          <w:noProof/>
        </w:rPr>
        <w:drawing>
          <wp:inline distT="0" distB="0" distL="0" distR="0" wp14:anchorId="3676DAAB">
            <wp:extent cx="6172200" cy="15900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697" cy="1598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F30" w:rsidRDefault="008A3F30">
      <w:r>
        <w:t>Figure 2. Light intercepti</w:t>
      </w:r>
      <w:bookmarkStart w:id="0" w:name="_GoBack"/>
      <w:bookmarkEnd w:id="0"/>
      <w:r>
        <w:t>on (%) in relation to ground cover (%) for both periods in 2013 and Period 1 only in 2014.</w:t>
      </w:r>
      <w:r w:rsidR="0063552D" w:rsidRPr="0063552D">
        <w:rPr>
          <w:noProof/>
        </w:rPr>
        <w:t xml:space="preserve"> </w:t>
      </w:r>
      <w:r w:rsidR="0063552D">
        <w:rPr>
          <w:noProof/>
        </w:rPr>
        <w:drawing>
          <wp:inline distT="0" distB="0" distL="0" distR="0" wp14:anchorId="09A2A9B3" wp14:editId="4054EF06">
            <wp:extent cx="5868537" cy="2402006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552D" w:rsidRDefault="0063552D">
      <w:r>
        <w:t xml:space="preserve">Figure 3. </w:t>
      </w:r>
      <w:r w:rsidRPr="0063552D">
        <w:t>Average daily gain (ADG) of cattle liveweight during three grazing periods in 2014 and the season-long mean (Final). West (red) symbolizes the grass-only treatment, and East (black) symbolizes the grass-alfalfa treatment.</w:t>
      </w:r>
    </w:p>
    <w:sectPr w:rsidR="0063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DA"/>
    <w:rsid w:val="00013EDD"/>
    <w:rsid w:val="0007105A"/>
    <w:rsid w:val="000730D8"/>
    <w:rsid w:val="000C3AB4"/>
    <w:rsid w:val="00100B17"/>
    <w:rsid w:val="001611DF"/>
    <w:rsid w:val="0017723D"/>
    <w:rsid w:val="001A4144"/>
    <w:rsid w:val="001C05F7"/>
    <w:rsid w:val="0024065F"/>
    <w:rsid w:val="002A3884"/>
    <w:rsid w:val="002C3F7B"/>
    <w:rsid w:val="0033236C"/>
    <w:rsid w:val="003A6332"/>
    <w:rsid w:val="003E2563"/>
    <w:rsid w:val="0042190C"/>
    <w:rsid w:val="004235EF"/>
    <w:rsid w:val="00443C2C"/>
    <w:rsid w:val="00475193"/>
    <w:rsid w:val="00517E3F"/>
    <w:rsid w:val="00575631"/>
    <w:rsid w:val="005D7563"/>
    <w:rsid w:val="005E779E"/>
    <w:rsid w:val="00624392"/>
    <w:rsid w:val="0063552D"/>
    <w:rsid w:val="006846F9"/>
    <w:rsid w:val="00707E4A"/>
    <w:rsid w:val="00725202"/>
    <w:rsid w:val="007914B8"/>
    <w:rsid w:val="007B32E7"/>
    <w:rsid w:val="007C7A72"/>
    <w:rsid w:val="007E123B"/>
    <w:rsid w:val="00837A5C"/>
    <w:rsid w:val="008741FE"/>
    <w:rsid w:val="00880EB8"/>
    <w:rsid w:val="00886029"/>
    <w:rsid w:val="008A3F30"/>
    <w:rsid w:val="008C1227"/>
    <w:rsid w:val="00916C0B"/>
    <w:rsid w:val="009720D0"/>
    <w:rsid w:val="009A0425"/>
    <w:rsid w:val="009F2771"/>
    <w:rsid w:val="00A14A83"/>
    <w:rsid w:val="00A23D2B"/>
    <w:rsid w:val="00A97489"/>
    <w:rsid w:val="00AD3E1B"/>
    <w:rsid w:val="00B12E5B"/>
    <w:rsid w:val="00B51E43"/>
    <w:rsid w:val="00B56477"/>
    <w:rsid w:val="00B94615"/>
    <w:rsid w:val="00BE3661"/>
    <w:rsid w:val="00C10F79"/>
    <w:rsid w:val="00C65933"/>
    <w:rsid w:val="00C720FB"/>
    <w:rsid w:val="00C75C76"/>
    <w:rsid w:val="00CF5F90"/>
    <w:rsid w:val="00D067B5"/>
    <w:rsid w:val="00D167BC"/>
    <w:rsid w:val="00D36015"/>
    <w:rsid w:val="00D402C1"/>
    <w:rsid w:val="00D8265B"/>
    <w:rsid w:val="00DA5A20"/>
    <w:rsid w:val="00E34027"/>
    <w:rsid w:val="00E43121"/>
    <w:rsid w:val="00E762D5"/>
    <w:rsid w:val="00EA37DA"/>
    <w:rsid w:val="00EA7C0C"/>
    <w:rsid w:val="00EC4AEC"/>
    <w:rsid w:val="00EF5430"/>
    <w:rsid w:val="00EF6A8C"/>
    <w:rsid w:val="00F22236"/>
    <w:rsid w:val="00F50932"/>
    <w:rsid w:val="00F50E3A"/>
    <w:rsid w:val="00F54D82"/>
    <w:rsid w:val="00F65CAD"/>
    <w:rsid w:val="00FD5644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7725A-5261-4A95-B4FC-3C6E0C4F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7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xte_000\Desktop\201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Comparison</a:t>
            </a:r>
            <a:r>
              <a:rPr lang="en-US" baseline="0"/>
              <a:t> of ADG between Treatments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Sheet1!$I$12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Sheet1!$J$11:$M$11</c:f>
              <c:strCache>
                <c:ptCount val="4"/>
                <c:pt idx="0">
                  <c:v>ADG1</c:v>
                </c:pt>
                <c:pt idx="1">
                  <c:v>ADG2</c:v>
                </c:pt>
                <c:pt idx="2">
                  <c:v>ADG3</c:v>
                </c:pt>
                <c:pt idx="3">
                  <c:v>ADG Final</c:v>
                </c:pt>
              </c:strCache>
            </c:strRef>
          </c:cat>
          <c:val>
            <c:numRef>
              <c:f>Sheet1!$J$12:$M$12</c:f>
              <c:numCache>
                <c:formatCode>0.00</c:formatCode>
                <c:ptCount val="4"/>
                <c:pt idx="0">
                  <c:v>1.7790975364504777</c:v>
                </c:pt>
                <c:pt idx="1">
                  <c:v>2.8601190476190474</c:v>
                </c:pt>
                <c:pt idx="2">
                  <c:v>1.181159420289855</c:v>
                </c:pt>
                <c:pt idx="3">
                  <c:v>1.9633484162895922</c:v>
                </c:pt>
              </c:numCache>
            </c:numRef>
          </c:val>
        </c:ser>
        <c:ser>
          <c:idx val="1"/>
          <c:order val="1"/>
          <c:tx>
            <c:strRef>
              <c:f>Sheet1!$I$13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Sheet1!$J$11:$M$11</c:f>
              <c:strCache>
                <c:ptCount val="4"/>
                <c:pt idx="0">
                  <c:v>ADG1</c:v>
                </c:pt>
                <c:pt idx="1">
                  <c:v>ADG2</c:v>
                </c:pt>
                <c:pt idx="2">
                  <c:v>ADG3</c:v>
                </c:pt>
                <c:pt idx="3">
                  <c:v>ADG Final</c:v>
                </c:pt>
              </c:strCache>
            </c:strRef>
          </c:cat>
          <c:val>
            <c:numRef>
              <c:f>Sheet1!$J$13:$M$13</c:f>
              <c:numCache>
                <c:formatCode>0.00</c:formatCode>
                <c:ptCount val="4"/>
                <c:pt idx="0">
                  <c:v>2.1458333333333335</c:v>
                </c:pt>
                <c:pt idx="1">
                  <c:v>1.9449404761904763</c:v>
                </c:pt>
                <c:pt idx="2">
                  <c:v>1.2403381642512077</c:v>
                </c:pt>
                <c:pt idx="3">
                  <c:v>1.8645969498910675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0583056"/>
        <c:axId val="460583616"/>
      </c:barChart>
      <c:catAx>
        <c:axId val="46058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583616"/>
        <c:crosses val="autoZero"/>
        <c:auto val="1"/>
        <c:lblAlgn val="ctr"/>
        <c:lblOffset val="100"/>
        <c:noMultiLvlLbl val="0"/>
      </c:catAx>
      <c:valAx>
        <c:axId val="46058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ADG (lbs/d)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58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熊叶丹 Victoria</dc:creator>
  <cp:keywords/>
  <dc:description/>
  <cp:lastModifiedBy>West, Chuck</cp:lastModifiedBy>
  <cp:revision>4</cp:revision>
  <dcterms:created xsi:type="dcterms:W3CDTF">2015-04-27T17:46:00Z</dcterms:created>
  <dcterms:modified xsi:type="dcterms:W3CDTF">2015-04-27T17:50:00Z</dcterms:modified>
</cp:coreProperties>
</file>