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31D" w:rsidRDefault="00E8631D" w:rsidP="00E8631D">
      <w:pPr>
        <w:keepNext/>
        <w:suppressAutoHyphens w:val="0"/>
      </w:pPr>
      <w:r>
        <w:rPr>
          <w:noProof/>
        </w:rPr>
        <w:drawing>
          <wp:inline distT="0" distB="0" distL="0" distR="0" wp14:anchorId="3DD84379" wp14:editId="2CA143D0">
            <wp:extent cx="5405673" cy="3463290"/>
            <wp:effectExtent l="0" t="0" r="508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8631D" w:rsidRDefault="00E8631D" w:rsidP="00E8631D">
      <w:pPr>
        <w:pStyle w:val="Caption"/>
        <w:jc w:val="left"/>
        <w:rPr>
          <w:b w:val="0"/>
        </w:rPr>
      </w:pPr>
      <w:bookmarkStart w:id="0" w:name="_Toc301545413"/>
      <w:bookmarkStart w:id="1" w:name="_GoBack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 Pre-</w:t>
      </w:r>
      <w:proofErr w:type="spellStart"/>
      <w:r>
        <w:t>Sidedress</w:t>
      </w:r>
      <w:proofErr w:type="spellEnd"/>
      <w:r w:rsidRPr="0009259D">
        <w:t xml:space="preserve"> and Post-harvest pH of biochar amended field plots.</w:t>
      </w:r>
      <w:bookmarkEnd w:id="0"/>
      <w:r w:rsidRPr="0009259D">
        <w:t xml:space="preserve"> </w:t>
      </w:r>
    </w:p>
    <w:bookmarkEnd w:id="1"/>
    <w:p w:rsidR="00E8631D" w:rsidRDefault="00E8631D" w:rsidP="00E8631D"/>
    <w:p w:rsidR="00E8631D" w:rsidRDefault="00E8631D" w:rsidP="00E8631D">
      <w:r w:rsidRPr="0009259D">
        <w:t>Values presented are treatment means.</w:t>
      </w:r>
    </w:p>
    <w:p w:rsidR="00E8631D" w:rsidRDefault="00E8631D" w:rsidP="00E8631D">
      <w:pPr>
        <w:suppressAutoHyphens w:val="0"/>
      </w:pPr>
      <w:r>
        <w:t xml:space="preserve">Means separated by sampling date. </w:t>
      </w:r>
    </w:p>
    <w:p w:rsidR="00E8631D" w:rsidRDefault="00E8631D" w:rsidP="00E8631D">
      <w:pPr>
        <w:suppressAutoHyphens w:val="0"/>
      </w:pPr>
      <w:r w:rsidRPr="00B92B5E">
        <w:t xml:space="preserve">Means followed by the same letter are not significantly different at </w:t>
      </w:r>
      <w:r w:rsidRPr="00B92B5E">
        <w:rPr>
          <w:i/>
        </w:rPr>
        <w:t>P&lt;0.05</w:t>
      </w:r>
      <w:r w:rsidRPr="00B92B5E">
        <w:t xml:space="preserve"> as determined by </w:t>
      </w:r>
      <w:proofErr w:type="spellStart"/>
      <w:r>
        <w:t>Tukey’s</w:t>
      </w:r>
      <w:proofErr w:type="spellEnd"/>
      <w:r>
        <w:t xml:space="preserve"> HSD</w:t>
      </w:r>
      <w:r w:rsidRPr="00B92B5E">
        <w:t>.</w:t>
      </w:r>
    </w:p>
    <w:p w:rsidR="00E8631D" w:rsidRDefault="00E8631D" w:rsidP="00E8631D"/>
    <w:p w:rsidR="00E8631D" w:rsidRDefault="00E8631D" w:rsidP="00E8631D"/>
    <w:p w:rsidR="005936B4" w:rsidRDefault="005936B4"/>
    <w:sectPr w:rsidR="005936B4" w:rsidSect="00A634F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F6"/>
    <w:rsid w:val="00090194"/>
    <w:rsid w:val="001D40F6"/>
    <w:rsid w:val="005936B4"/>
    <w:rsid w:val="00A634F2"/>
    <w:rsid w:val="00E863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72E9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F6"/>
    <w:pPr>
      <w:suppressAutoHyphens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D40F6"/>
    <w:pPr>
      <w:keepLines/>
      <w:jc w:val="center"/>
    </w:pPr>
    <w:rPr>
      <w:b/>
    </w:rPr>
  </w:style>
  <w:style w:type="table" w:styleId="TableGrid">
    <w:name w:val="Table Grid"/>
    <w:basedOn w:val="TableNormal"/>
    <w:uiPriority w:val="59"/>
    <w:rsid w:val="001D40F6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1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F6"/>
    <w:pPr>
      <w:suppressAutoHyphens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qFormat/>
    <w:rsid w:val="001D40F6"/>
    <w:pPr>
      <w:keepLines/>
      <w:jc w:val="center"/>
    </w:pPr>
    <w:rPr>
      <w:b/>
    </w:rPr>
  </w:style>
  <w:style w:type="table" w:styleId="TableGrid">
    <w:name w:val="Table Grid"/>
    <w:basedOn w:val="TableNormal"/>
    <w:uiPriority w:val="59"/>
    <w:rsid w:val="001D40F6"/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63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31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oleObject" Target="ECOLE:DATA%20files:biochar%20soil%20pH%2012_13_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7"/>
    </mc:Choice>
    <mc:Fallback>
      <c:style val="1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0852345553845243"/>
          <c:y val="0.1004767143381"/>
          <c:w val="0.848819822686638"/>
          <c:h val="0.72228372443543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Sheet2!$A$2</c:f>
              <c:strCache>
                <c:ptCount val="1"/>
                <c:pt idx="0">
                  <c:v>0% bc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800"/>
                      <a:t>b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800"/>
                      <a:t>b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800"/>
                      <a:t>b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.0"/>
                  <c:y val="0.00366703337000367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c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00469924812030075"/>
                  <c:y val="0.0073340667400074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b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00234962406015046"/>
                  <c:y val="0.00366703337000367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c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Sheet2!$B$1:$G$1</c:f>
              <c:strCache>
                <c:ptCount val="6"/>
                <c:pt idx="0">
                  <c:v>Jun-12</c:v>
                </c:pt>
                <c:pt idx="1">
                  <c:v>Oct-12</c:v>
                </c:pt>
                <c:pt idx="2">
                  <c:v>Jun-13</c:v>
                </c:pt>
                <c:pt idx="3">
                  <c:v>Sep-13</c:v>
                </c:pt>
                <c:pt idx="4">
                  <c:v>Jun-14</c:v>
                </c:pt>
                <c:pt idx="5">
                  <c:v>Aug-14</c:v>
                </c:pt>
              </c:strCache>
            </c:strRef>
          </c:cat>
          <c:val>
            <c:numRef>
              <c:f>Sheet2!$B$2:$G$2</c:f>
              <c:numCache>
                <c:formatCode>General</c:formatCode>
                <c:ptCount val="6"/>
                <c:pt idx="0">
                  <c:v>5.760000000000001</c:v>
                </c:pt>
                <c:pt idx="1">
                  <c:v>5.85</c:v>
                </c:pt>
                <c:pt idx="2">
                  <c:v>5.746</c:v>
                </c:pt>
                <c:pt idx="3">
                  <c:v>5.958</c:v>
                </c:pt>
                <c:pt idx="4">
                  <c:v>5.683999999999997</c:v>
                </c:pt>
                <c:pt idx="5">
                  <c:v>5.968000000000001</c:v>
                </c:pt>
              </c:numCache>
            </c:numRef>
          </c:val>
        </c:ser>
        <c:ser>
          <c:idx val="1"/>
          <c:order val="1"/>
          <c:tx>
            <c:strRef>
              <c:f>Sheet2!$A$3</c:f>
              <c:strCache>
                <c:ptCount val="1"/>
                <c:pt idx="0">
                  <c:v>2% bc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0.00469924812030075"/>
                  <c:y val="0.0146681334800147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ab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0.00469924812030075"/>
                  <c:y val="0.011001100110011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b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0.00234962406015038"/>
                  <c:y val="0.0146681334800147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bc</a:t>
                    </a:r>
                    <a:endParaRPr lang="en-US" sz="9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00704905719021964"/>
                  <c:y val="0.00733406674000733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ab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00234962406015046"/>
                  <c:y val="0.022002200220022"/>
                </c:manualLayout>
              </c:layout>
              <c:tx>
                <c:rich>
                  <a:bodyPr/>
                  <a:lstStyle/>
                  <a:p>
                    <a:r>
                      <a:rPr lang="en-US" sz="800"/>
                      <a:t>bc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Sheet2!$B$1:$G$1</c:f>
              <c:strCache>
                <c:ptCount val="6"/>
                <c:pt idx="0">
                  <c:v>Jun-12</c:v>
                </c:pt>
                <c:pt idx="1">
                  <c:v>Oct-12</c:v>
                </c:pt>
                <c:pt idx="2">
                  <c:v>Jun-13</c:v>
                </c:pt>
                <c:pt idx="3">
                  <c:v>Sep-13</c:v>
                </c:pt>
                <c:pt idx="4">
                  <c:v>Jun-14</c:v>
                </c:pt>
                <c:pt idx="5">
                  <c:v>Aug-14</c:v>
                </c:pt>
              </c:strCache>
            </c:strRef>
          </c:cat>
          <c:val>
            <c:numRef>
              <c:f>Sheet2!$B$3:$G$3</c:f>
              <c:numCache>
                <c:formatCode>General</c:formatCode>
                <c:ptCount val="6"/>
                <c:pt idx="0">
                  <c:v>6.01</c:v>
                </c:pt>
                <c:pt idx="1">
                  <c:v>6.093999999999999</c:v>
                </c:pt>
                <c:pt idx="2">
                  <c:v>6.183999999999997</c:v>
                </c:pt>
                <c:pt idx="3">
                  <c:v>6.286</c:v>
                </c:pt>
                <c:pt idx="4">
                  <c:v>6.086</c:v>
                </c:pt>
                <c:pt idx="5">
                  <c:v>6.318</c:v>
                </c:pt>
              </c:numCache>
            </c:numRef>
          </c:val>
        </c:ser>
        <c:ser>
          <c:idx val="2"/>
          <c:order val="2"/>
          <c:tx>
            <c:strRef>
              <c:f>Sheet2!$A$4</c:f>
              <c:strCache>
                <c:ptCount val="1"/>
                <c:pt idx="0">
                  <c:v>4% bc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800"/>
                      <a:t>b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800"/>
                      <a:t>ab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800"/>
                      <a:t>ab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Sheet2!$B$1:$G$1</c:f>
              <c:strCache>
                <c:ptCount val="6"/>
                <c:pt idx="0">
                  <c:v>Jun-12</c:v>
                </c:pt>
                <c:pt idx="1">
                  <c:v>Oct-12</c:v>
                </c:pt>
                <c:pt idx="2">
                  <c:v>Jun-13</c:v>
                </c:pt>
                <c:pt idx="3">
                  <c:v>Sep-13</c:v>
                </c:pt>
                <c:pt idx="4">
                  <c:v>Jun-14</c:v>
                </c:pt>
                <c:pt idx="5">
                  <c:v>Aug-14</c:v>
                </c:pt>
              </c:strCache>
            </c:strRef>
          </c:cat>
          <c:val>
            <c:numRef>
              <c:f>Sheet2!$B$4:$G$4</c:f>
              <c:numCache>
                <c:formatCode>General</c:formatCode>
                <c:ptCount val="6"/>
                <c:pt idx="0">
                  <c:v>6.215999999999998</c:v>
                </c:pt>
                <c:pt idx="1">
                  <c:v>6.295999999999998</c:v>
                </c:pt>
                <c:pt idx="2">
                  <c:v>6.348</c:v>
                </c:pt>
                <c:pt idx="3">
                  <c:v>6.6</c:v>
                </c:pt>
                <c:pt idx="4">
                  <c:v>6.177999999999995</c:v>
                </c:pt>
                <c:pt idx="5">
                  <c:v>6.56</c:v>
                </c:pt>
              </c:numCache>
            </c:numRef>
          </c:val>
        </c:ser>
        <c:ser>
          <c:idx val="3"/>
          <c:order val="3"/>
          <c:tx>
            <c:strRef>
              <c:f>Sheet2!$A$5</c:f>
              <c:strCache>
                <c:ptCount val="1"/>
                <c:pt idx="0">
                  <c:v>6% bc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800"/>
                      <a:t>ab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Sheet2!$B$1:$G$1</c:f>
              <c:strCache>
                <c:ptCount val="6"/>
                <c:pt idx="0">
                  <c:v>Jun-12</c:v>
                </c:pt>
                <c:pt idx="1">
                  <c:v>Oct-12</c:v>
                </c:pt>
                <c:pt idx="2">
                  <c:v>Jun-13</c:v>
                </c:pt>
                <c:pt idx="3">
                  <c:v>Sep-13</c:v>
                </c:pt>
                <c:pt idx="4">
                  <c:v>Jun-14</c:v>
                </c:pt>
                <c:pt idx="5">
                  <c:v>Aug-14</c:v>
                </c:pt>
              </c:strCache>
            </c:strRef>
          </c:cat>
          <c:val>
            <c:numRef>
              <c:f>Sheet2!$B$5:$G$5</c:f>
              <c:numCache>
                <c:formatCode>General</c:formatCode>
                <c:ptCount val="6"/>
                <c:pt idx="0">
                  <c:v>6.321999999999996</c:v>
                </c:pt>
                <c:pt idx="1">
                  <c:v>6.34</c:v>
                </c:pt>
                <c:pt idx="2">
                  <c:v>6.428</c:v>
                </c:pt>
                <c:pt idx="3">
                  <c:v>6.663999999999989</c:v>
                </c:pt>
                <c:pt idx="4">
                  <c:v>6.516</c:v>
                </c:pt>
                <c:pt idx="5">
                  <c:v>6.758000000000001</c:v>
                </c:pt>
              </c:numCache>
            </c:numRef>
          </c:val>
        </c:ser>
        <c:ser>
          <c:idx val="4"/>
          <c:order val="4"/>
          <c:tx>
            <c:strRef>
              <c:f>Sheet2!$A$6</c:f>
              <c:strCache>
                <c:ptCount val="1"/>
                <c:pt idx="0">
                  <c:v>8% bc</c:v>
                </c:pt>
              </c:strCache>
            </c:strRef>
          </c:tx>
          <c:spPr>
            <a:solidFill>
              <a:schemeClr val="tx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 sz="800"/>
                      <a:t>a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Sheet2!$B$1:$G$1</c:f>
              <c:strCache>
                <c:ptCount val="6"/>
                <c:pt idx="0">
                  <c:v>Jun-12</c:v>
                </c:pt>
                <c:pt idx="1">
                  <c:v>Oct-12</c:v>
                </c:pt>
                <c:pt idx="2">
                  <c:v>Jun-13</c:v>
                </c:pt>
                <c:pt idx="3">
                  <c:v>Sep-13</c:v>
                </c:pt>
                <c:pt idx="4">
                  <c:v>Jun-14</c:v>
                </c:pt>
                <c:pt idx="5">
                  <c:v>Aug-14</c:v>
                </c:pt>
              </c:strCache>
            </c:strRef>
          </c:cat>
          <c:val>
            <c:numRef>
              <c:f>Sheet2!$B$6:$G$6</c:f>
              <c:numCache>
                <c:formatCode>General</c:formatCode>
                <c:ptCount val="6"/>
                <c:pt idx="0">
                  <c:v>6.308000000000001</c:v>
                </c:pt>
                <c:pt idx="1">
                  <c:v>6.351999999999998</c:v>
                </c:pt>
                <c:pt idx="2">
                  <c:v>6.593999999999999</c:v>
                </c:pt>
                <c:pt idx="3">
                  <c:v>6.821999999999996</c:v>
                </c:pt>
                <c:pt idx="4">
                  <c:v>6.513999999999998</c:v>
                </c:pt>
                <c:pt idx="5">
                  <c:v>6.831999999999999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14528424"/>
        <c:axId val="2114216984"/>
      </c:barChart>
      <c:catAx>
        <c:axId val="2114528424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 b="0" baseline="0"/>
                  <a:t>Month-Year</a:t>
                </a:r>
                <a:endParaRPr lang="en-US" b="0"/>
              </a:p>
            </c:rich>
          </c:tx>
          <c:layout/>
          <c:overlay val="0"/>
        </c:title>
        <c:numFmt formatCode="mmm\-yy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+mj-lt"/>
              </a:defRPr>
            </a:pPr>
            <a:endParaRPr lang="en-US"/>
          </a:p>
        </c:txPr>
        <c:crossAx val="2114216984"/>
        <c:crosses val="autoZero"/>
        <c:auto val="0"/>
        <c:lblAlgn val="ctr"/>
        <c:lblOffset val="100"/>
        <c:noMultiLvlLbl val="0"/>
      </c:catAx>
      <c:valAx>
        <c:axId val="2114216984"/>
        <c:scaling>
          <c:orientation val="minMax"/>
          <c:min val="5.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pH</a:t>
                </a:r>
              </a:p>
            </c:rich>
          </c:tx>
          <c:layout/>
          <c:overlay val="0"/>
        </c:title>
        <c:numFmt formatCode="0.0" sourceLinked="0"/>
        <c:majorTickMark val="out"/>
        <c:minorTickMark val="none"/>
        <c:tickLblPos val="nextTo"/>
        <c:crossAx val="2114528424"/>
        <c:crosses val="autoZero"/>
        <c:crossBetween val="between"/>
        <c:minorUnit val="0.04"/>
      </c:valAx>
      <c:spPr>
        <a:ln>
          <a:solidFill>
            <a:sysClr val="windowText" lastClr="000000"/>
          </a:solidFill>
        </a:ln>
      </c:spPr>
    </c:plotArea>
    <c:legend>
      <c:legendPos val="r"/>
      <c:layout>
        <c:manualLayout>
          <c:xMode val="edge"/>
          <c:yMode val="edge"/>
          <c:x val="0.0811408442365757"/>
          <c:y val="0.102835742891874"/>
          <c:w val="0.155231336214552"/>
          <c:h val="0.194401854883651"/>
        </c:manualLayout>
      </c:layout>
      <c:overlay val="0"/>
      <c:txPr>
        <a:bodyPr/>
        <a:lstStyle/>
        <a:p>
          <a:pPr>
            <a:defRPr sz="800">
              <a:latin typeface="+mj-lt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tint val="100000"/>
              <a:shade val="100000"/>
              <a:satMod val="130000"/>
            </a:schemeClr>
          </a:gs>
          <a:gs pos="100000">
            <a:schemeClr val="phClr">
              <a:tint val="50000"/>
              <a:shade val="100000"/>
              <a:satMod val="350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Macintosh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Cole</dc:creator>
  <cp:keywords/>
  <dc:description/>
  <cp:lastModifiedBy>Emily Cole</cp:lastModifiedBy>
  <cp:revision>2</cp:revision>
  <dcterms:created xsi:type="dcterms:W3CDTF">2015-12-21T16:37:00Z</dcterms:created>
  <dcterms:modified xsi:type="dcterms:W3CDTF">2015-12-21T16:37:00Z</dcterms:modified>
</cp:coreProperties>
</file>