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6DE7" w14:textId="3C5CC701" w:rsidR="0088596F" w:rsidRPr="00902D0B" w:rsidRDefault="009B79C1" w:rsidP="00902D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D58D" wp14:editId="7DD27B8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1435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5173C" w14:textId="178C0901" w:rsidR="0097285B" w:rsidRPr="00140B52" w:rsidRDefault="0097285B" w:rsidP="00592150">
                            <w:pPr>
                              <w:tabs>
                                <w:tab w:val="left" w:pos="103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Appendix A: Effect of </w:t>
                            </w:r>
                            <w:r w:rsidRPr="004D37F6">
                              <w:rPr>
                                <w:rFonts w:ascii="Times New Roman" w:hAnsi="Times New Roman" w:cs="Times New Roman"/>
                                <w:i/>
                              </w:rPr>
                              <w:t>A. citrulli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AAC00-1hrcC concentration applied to female watermelon flowers on the bacterial concentration in resulting watermelon seeds.  Bars represent the mean of at least 8 replicates and lines represent the standard deviation of the means. Treatments with different letters are significantly different according to Turkey’s HSD Test.</w:t>
                            </w:r>
                          </w:p>
                          <w:p w14:paraId="77D94CEF" w14:textId="77777777" w:rsidR="0097285B" w:rsidRDefault="0097285B" w:rsidP="00592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18pt;width:40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" filled="f" stroked="f">
                <v:textbox>
                  <w:txbxContent>
                    <w:p w14:paraId="6785173C" w14:textId="178C0901" w:rsidR="0097285B" w:rsidRPr="00140B52" w:rsidRDefault="0097285B" w:rsidP="00592150">
                      <w:pPr>
                        <w:tabs>
                          <w:tab w:val="left" w:pos="1036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Appendix A: Effect of </w:t>
                      </w:r>
                      <w:r w:rsidRPr="004D37F6">
                        <w:rPr>
                          <w:rFonts w:ascii="Times New Roman" w:hAnsi="Times New Roman" w:cs="Times New Roman"/>
                          <w:i/>
                        </w:rPr>
                        <w:t>A. citrulli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AAC00-1hrcC concentration applied to female watermelon flowers on the bacterial concentration in resulting watermelon seeds.  Bars represent the mean of at least 8 replicates and lines represent the standard deviation of the means. Treatments with different letters are significantly different according to Turkey’s HSD Test.</w:t>
                      </w:r>
                    </w:p>
                    <w:p w14:paraId="77D94CEF" w14:textId="77777777" w:rsidR="0097285B" w:rsidRDefault="0097285B" w:rsidP="00592150"/>
                  </w:txbxContent>
                </v:textbox>
                <w10:wrap type="square"/>
              </v:shape>
            </w:pict>
          </mc:Fallback>
        </mc:AlternateContent>
      </w:r>
      <w:r w:rsidR="00A572B7">
        <w:rPr>
          <w:rFonts w:ascii="Times New Roman" w:hAnsi="Times New Roman" w:cs="Times New Roman"/>
        </w:rPr>
        <w:t>Appendix A</w:t>
      </w:r>
    </w:p>
    <w:p w14:paraId="5423FCFA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03ACD64B" w14:textId="24978B1C" w:rsidR="001216B4" w:rsidRDefault="00902D0B" w:rsidP="0088596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C06D0A" wp14:editId="5E0F9E64">
            <wp:extent cx="5486400" cy="2766695"/>
            <wp:effectExtent l="0" t="0" r="2540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A5BC10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292C69DC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27E5F1AB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3B74F14E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105A226B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6CE7179E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788203CD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2ED8D5F8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4F9566BB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3192F365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6D902CE6" w14:textId="77777777" w:rsidR="001216B4" w:rsidRDefault="001216B4" w:rsidP="001216B4">
      <w:pPr>
        <w:jc w:val="center"/>
        <w:rPr>
          <w:rFonts w:ascii="Times New Roman" w:hAnsi="Times New Roman" w:cs="Times New Roman"/>
        </w:rPr>
      </w:pPr>
    </w:p>
    <w:p w14:paraId="4F177122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515C0FAD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53D23005" w14:textId="77777777" w:rsidR="001216B4" w:rsidRDefault="001216B4" w:rsidP="0088596F">
      <w:pPr>
        <w:rPr>
          <w:rFonts w:ascii="Times New Roman" w:hAnsi="Times New Roman" w:cs="Times New Roman"/>
        </w:rPr>
      </w:pPr>
    </w:p>
    <w:p w14:paraId="7A8D1CAB" w14:textId="0814432D" w:rsidR="00140B52" w:rsidRDefault="00140B52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1291C582" w14:textId="77777777" w:rsidR="00140B52" w:rsidRDefault="00140B52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621D159C" w14:textId="77777777" w:rsidR="00902D0B" w:rsidRDefault="00902D0B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10D2E4E1" w14:textId="77777777" w:rsidR="00902D0B" w:rsidRDefault="00902D0B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05A3521A" w14:textId="77777777" w:rsidR="00902D0B" w:rsidRDefault="00902D0B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6591520F" w14:textId="77777777" w:rsidR="00902D0B" w:rsidRDefault="00902D0B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13060682" w14:textId="77777777" w:rsidR="00902D0B" w:rsidRDefault="00902D0B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693462C5" w14:textId="77777777" w:rsidR="00902D0B" w:rsidRDefault="00902D0B" w:rsidP="00140B52">
      <w:pPr>
        <w:tabs>
          <w:tab w:val="left" w:pos="1036"/>
        </w:tabs>
        <w:rPr>
          <w:rFonts w:ascii="Times New Roman" w:hAnsi="Times New Roman" w:cs="Times New Roman"/>
        </w:rPr>
      </w:pPr>
    </w:p>
    <w:p w14:paraId="7D52C997" w14:textId="2002E593" w:rsidR="00140B52" w:rsidRDefault="00AA4C29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Appendix B</w:t>
      </w:r>
    </w:p>
    <w:p w14:paraId="082DC3B0" w14:textId="6E21B8F6" w:rsidR="00092AF1" w:rsidRDefault="005606E5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17EC" wp14:editId="53E0806A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49149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F899" w14:textId="4D462017" w:rsidR="0097285B" w:rsidRPr="00140B52" w:rsidRDefault="0097285B" w:rsidP="00592150">
                            <w:pPr>
                              <w:tabs>
                                <w:tab w:val="left" w:pos="1036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Appendix B: Effect of treatment of female watermelon flowers with </w:t>
                            </w:r>
                            <w:r w:rsidRPr="005606E5">
                              <w:rPr>
                                <w:rFonts w:ascii="Times New Roman" w:hAnsi="Times New Roman" w:cs="Times New Roman"/>
                                <w:i/>
                              </w:rPr>
                              <w:t>Bacillus mojavensis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4704CB">
                              <w:rPr>
                                <w:rFonts w:ascii="Times New Roman" w:hAnsi="Times New Roman" w:cs="Times New Roman"/>
                              </w:rPr>
                              <w:t>RRC101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606E5">
                              <w:rPr>
                                <w:rFonts w:ascii="Times New Roman" w:hAnsi="Times New Roman" w:cs="Times New Roman"/>
                                <w:i/>
                              </w:rPr>
                              <w:t>Bacillus spp. #24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and </w:t>
                            </w:r>
                            <w:r w:rsidRPr="005606E5">
                              <w:rPr>
                                <w:rFonts w:ascii="Times New Roman" w:hAnsi="Times New Roman" w:cs="Times New Roman"/>
                                <w:i/>
                              </w:rPr>
                              <w:t>Bacillus spp. #35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or 0.1 M phosphate-buffered saline (PBS, negative control) on bacterial fruit blotch (BFB) seedling transmission, after the resulting seeds were challenged with </w:t>
                            </w:r>
                            <w:r w:rsidRPr="00AA556F">
                              <w:rPr>
                                <w:rFonts w:ascii="Times New Roman" w:hAnsi="Times New Roman" w:cs="Times New Roman"/>
                                <w:i/>
                              </w:rPr>
                              <w:t>A. citrulli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AAC213-60.  Seeds (n=40) were vacuum infiltrated with a cell suspension containing 10</w:t>
                            </w:r>
                            <w:r w:rsidRPr="00AA556F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AAC213-60 CFU/ml and germinated in sterile test tubes under conditions of 28C and 100% RH for 14 days. Treatments with different letters are significantly different according to Turkey’s HSD Test.</w:t>
                            </w:r>
                          </w:p>
                          <w:p w14:paraId="75E0190F" w14:textId="77777777" w:rsidR="0097285B" w:rsidRDefault="0097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pt;margin-top:4.2pt;width:38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ihs8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" filled="f" stroked="f">
                <v:textbox>
                  <w:txbxContent>
                    <w:p w14:paraId="63DAF899" w14:textId="4D462017" w:rsidR="0097285B" w:rsidRPr="00140B52" w:rsidRDefault="0097285B" w:rsidP="00592150">
                      <w:pPr>
                        <w:tabs>
                          <w:tab w:val="left" w:pos="1036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Appendix B: Effect of treatment of female watermelon flowers with </w:t>
                      </w:r>
                      <w:r w:rsidRPr="005606E5">
                        <w:rPr>
                          <w:rFonts w:ascii="Times New Roman" w:hAnsi="Times New Roman" w:cs="Times New Roman"/>
                          <w:i/>
                        </w:rPr>
                        <w:t>Bacillus mojavensis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4704CB">
                        <w:rPr>
                          <w:rFonts w:ascii="Times New Roman" w:hAnsi="Times New Roman" w:cs="Times New Roman"/>
                        </w:rPr>
                        <w:t>RRC101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5606E5">
                        <w:rPr>
                          <w:rFonts w:ascii="Times New Roman" w:hAnsi="Times New Roman" w:cs="Times New Roman"/>
                          <w:i/>
                        </w:rPr>
                        <w:t>Bacillus spp. #24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and </w:t>
                      </w:r>
                      <w:r w:rsidRPr="005606E5">
                        <w:rPr>
                          <w:rFonts w:ascii="Times New Roman" w:hAnsi="Times New Roman" w:cs="Times New Roman"/>
                          <w:i/>
                        </w:rPr>
                        <w:t>Bacillus spp. #35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or 0.1 M phosphate-buffered saline (PBS, negative control) on bacterial fruit blotch (BFB) seedling transmission, after the resulting seeds were challenged with </w:t>
                      </w:r>
                      <w:r w:rsidRPr="00AA556F">
                        <w:rPr>
                          <w:rFonts w:ascii="Times New Roman" w:hAnsi="Times New Roman" w:cs="Times New Roman"/>
                          <w:i/>
                        </w:rPr>
                        <w:t>A. citrulli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AAC213-60.  Seeds (n=40) were vacuum infiltrated with a cell suspension containing 10</w:t>
                      </w:r>
                      <w:r w:rsidRPr="00AA556F">
                        <w:rPr>
                          <w:rFonts w:ascii="Times New Roman" w:hAnsi="Times New Roman" w:cs="Times New Roman"/>
                          <w:vertAlign w:val="superscript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AAC213-60 CFU/ml and germinated in sterile test tubes under conditions of 28C and 100% RH for 14 days. Treatments with different letters are significantly different according to Turkey’s HSD Test.</w:t>
                      </w:r>
                    </w:p>
                    <w:p w14:paraId="75E0190F" w14:textId="77777777" w:rsidR="0097285B" w:rsidRDefault="0097285B"/>
                  </w:txbxContent>
                </v:textbox>
                <w10:wrap type="square"/>
              </v:shape>
            </w:pict>
          </mc:Fallback>
        </mc:AlternateContent>
      </w:r>
    </w:p>
    <w:p w14:paraId="74EF0E3B" w14:textId="40754696" w:rsidR="00092AF1" w:rsidRPr="00140B52" w:rsidRDefault="00B24C83" w:rsidP="00092AF1">
      <w:pPr>
        <w:tabs>
          <w:tab w:val="left" w:pos="10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EB8DC7A" w14:textId="77777777" w:rsidR="00092AF1" w:rsidRDefault="00092AF1" w:rsidP="00092AF1">
      <w:pPr>
        <w:tabs>
          <w:tab w:val="left" w:pos="1036"/>
        </w:tabs>
        <w:rPr>
          <w:rFonts w:ascii="Times New Roman" w:hAnsi="Times New Roman" w:cs="Times New Roman"/>
        </w:rPr>
      </w:pPr>
    </w:p>
    <w:p w14:paraId="6C0C9CFD" w14:textId="77777777" w:rsidR="00140B52" w:rsidRDefault="00140B52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48E3D957" w14:textId="77777777" w:rsidR="005606E5" w:rsidRDefault="005606E5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6815B645" w14:textId="77777777" w:rsidR="005606E5" w:rsidRDefault="005606E5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23FE62D7" w14:textId="77777777" w:rsidR="005606E5" w:rsidRDefault="005606E5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48D4BA21" w14:textId="77777777" w:rsidR="005606E5" w:rsidRDefault="005606E5" w:rsidP="00592150">
      <w:pPr>
        <w:tabs>
          <w:tab w:val="left" w:pos="1036"/>
        </w:tabs>
        <w:rPr>
          <w:rFonts w:ascii="Times New Roman" w:hAnsi="Times New Roman" w:cs="Times New Roman"/>
        </w:rPr>
      </w:pPr>
    </w:p>
    <w:p w14:paraId="673750F8" w14:textId="77777777" w:rsidR="00941E48" w:rsidRDefault="00941E48" w:rsidP="0097285B">
      <w:pPr>
        <w:tabs>
          <w:tab w:val="left" w:pos="1036"/>
        </w:tabs>
        <w:rPr>
          <w:noProof/>
        </w:rPr>
      </w:pPr>
    </w:p>
    <w:p w14:paraId="502A1847" w14:textId="77777777" w:rsidR="00941E48" w:rsidRDefault="00941E48" w:rsidP="00140B52">
      <w:pPr>
        <w:tabs>
          <w:tab w:val="left" w:pos="1036"/>
        </w:tabs>
        <w:jc w:val="center"/>
        <w:rPr>
          <w:noProof/>
        </w:rPr>
      </w:pPr>
    </w:p>
    <w:p w14:paraId="79F241FE" w14:textId="77777777" w:rsidR="00941E48" w:rsidRDefault="00941E48" w:rsidP="00140B52">
      <w:pPr>
        <w:tabs>
          <w:tab w:val="left" w:pos="1036"/>
        </w:tabs>
        <w:jc w:val="center"/>
        <w:rPr>
          <w:noProof/>
        </w:rPr>
      </w:pPr>
    </w:p>
    <w:p w14:paraId="5DDAA42F" w14:textId="43F0D50E" w:rsidR="00941E48" w:rsidRDefault="0097285B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92A5341" wp14:editId="47870BC4">
            <wp:extent cx="4946650" cy="2838450"/>
            <wp:effectExtent l="0" t="0" r="31750" b="317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556529" w14:textId="77777777" w:rsidR="00092AF1" w:rsidRDefault="00092AF1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71676476" w14:textId="77777777" w:rsidR="0071782F" w:rsidRDefault="0071782F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2685ED91" w14:textId="084E4317" w:rsidR="0071782F" w:rsidRDefault="0071782F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7224278F" w14:textId="462EB122" w:rsidR="0071782F" w:rsidRDefault="0071782F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</w:p>
    <w:p w14:paraId="700E81B2" w14:textId="42D83694" w:rsidR="004A5888" w:rsidRDefault="004A5888" w:rsidP="00140B52">
      <w:pPr>
        <w:tabs>
          <w:tab w:val="left" w:pos="103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9662C80" w14:textId="77777777" w:rsidR="004A5888" w:rsidRPr="004A5888" w:rsidRDefault="004A5888" w:rsidP="004A5888">
      <w:pPr>
        <w:rPr>
          <w:rFonts w:ascii="Times New Roman" w:hAnsi="Times New Roman" w:cs="Times New Roman"/>
        </w:rPr>
      </w:pPr>
    </w:p>
    <w:p w14:paraId="7590E99A" w14:textId="310C6054" w:rsidR="004A5888" w:rsidRPr="004A5888" w:rsidRDefault="004A5888" w:rsidP="004A5888">
      <w:pPr>
        <w:rPr>
          <w:rFonts w:ascii="Times New Roman" w:hAnsi="Times New Roman" w:cs="Times New Roman"/>
        </w:rPr>
      </w:pPr>
    </w:p>
    <w:p w14:paraId="70B2FE00" w14:textId="77777777" w:rsidR="004A5888" w:rsidRPr="004A5888" w:rsidRDefault="004A5888" w:rsidP="004A5888">
      <w:pPr>
        <w:rPr>
          <w:rFonts w:ascii="Times New Roman" w:hAnsi="Times New Roman" w:cs="Times New Roman"/>
        </w:rPr>
      </w:pPr>
    </w:p>
    <w:p w14:paraId="7D64D2AC" w14:textId="77777777" w:rsidR="004A5888" w:rsidRPr="004A5888" w:rsidRDefault="004A5888" w:rsidP="004A5888">
      <w:pPr>
        <w:rPr>
          <w:rFonts w:ascii="Times New Roman" w:hAnsi="Times New Roman" w:cs="Times New Roman"/>
        </w:rPr>
      </w:pPr>
    </w:p>
    <w:p w14:paraId="222061EA" w14:textId="1FF2FF3B" w:rsidR="004A5888" w:rsidRDefault="004A5888" w:rsidP="004A5888">
      <w:pPr>
        <w:rPr>
          <w:rFonts w:ascii="Times New Roman" w:hAnsi="Times New Roman" w:cs="Times New Roman"/>
        </w:rPr>
      </w:pPr>
    </w:p>
    <w:p w14:paraId="48363FE4" w14:textId="3C250686" w:rsidR="0071782F" w:rsidRPr="004A5888" w:rsidRDefault="004A5888" w:rsidP="004A5888">
      <w:pPr>
        <w:tabs>
          <w:tab w:val="left" w:pos="36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1782F" w:rsidRPr="004A5888" w:rsidSect="008F3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6F"/>
    <w:rsid w:val="00092AF1"/>
    <w:rsid w:val="001216B4"/>
    <w:rsid w:val="00140B52"/>
    <w:rsid w:val="00195B1A"/>
    <w:rsid w:val="004704CB"/>
    <w:rsid w:val="004A5888"/>
    <w:rsid w:val="004B7E82"/>
    <w:rsid w:val="004D37F6"/>
    <w:rsid w:val="005606E5"/>
    <w:rsid w:val="00584877"/>
    <w:rsid w:val="00592150"/>
    <w:rsid w:val="0071782F"/>
    <w:rsid w:val="007722B8"/>
    <w:rsid w:val="0088596F"/>
    <w:rsid w:val="008F3095"/>
    <w:rsid w:val="008F36E2"/>
    <w:rsid w:val="00902D0B"/>
    <w:rsid w:val="00941E48"/>
    <w:rsid w:val="0097285B"/>
    <w:rsid w:val="009B79C1"/>
    <w:rsid w:val="00A44AD5"/>
    <w:rsid w:val="00A572B7"/>
    <w:rsid w:val="00AA4C29"/>
    <w:rsid w:val="00AA556F"/>
    <w:rsid w:val="00B24C83"/>
    <w:rsid w:val="00B367EA"/>
    <w:rsid w:val="00BF4D72"/>
    <w:rsid w:val="00CE60DD"/>
    <w:rsid w:val="00EA0E61"/>
    <w:rsid w:val="00F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7A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9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afirasutton:Desktop:Proposal%202015:Compiled%20Raw%20Data%20Sets:safira%20cfu%20data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afirasutton:Desktop:Proposal%202015:Compiled%20Raw%20Data%20Sets:Feild%20Seed%20Lots%20Summer%2015.xlsx" TargetMode="External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Sheet2!$I$5:$I$8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15.9</c:v>
                  </c:pt>
                  <c:pt idx="2">
                    <c:v>137.1</c:v>
                  </c:pt>
                  <c:pt idx="3">
                    <c:v>26.3</c:v>
                  </c:pt>
                </c:numCache>
              </c:numRef>
            </c:plus>
            <c:minus>
              <c:numRef>
                <c:f>Sheet2!$I$5:$I$8</c:f>
                <c:numCache>
                  <c:formatCode>General</c:formatCode>
                  <c:ptCount val="4"/>
                  <c:pt idx="0">
                    <c:v>0.0</c:v>
                  </c:pt>
                  <c:pt idx="1">
                    <c:v>15.9</c:v>
                  </c:pt>
                  <c:pt idx="2">
                    <c:v>137.1</c:v>
                  </c:pt>
                  <c:pt idx="3">
                    <c:v>26.3</c:v>
                  </c:pt>
                </c:numCache>
              </c:numRef>
            </c:minus>
          </c:errBars>
          <c:cat>
            <c:strRef>
              <c:f>Sheet2!$G$5:$G$8</c:f>
              <c:strCache>
                <c:ptCount val="4"/>
                <c:pt idx="0">
                  <c:v>0</c:v>
                </c:pt>
                <c:pt idx="1">
                  <c:v>10^7</c:v>
                </c:pt>
                <c:pt idx="2">
                  <c:v>10^8</c:v>
                </c:pt>
                <c:pt idx="3">
                  <c:v>10^9</c:v>
                </c:pt>
              </c:strCache>
            </c:strRef>
          </c:cat>
          <c:val>
            <c:numRef>
              <c:f>Sheet2!$H$5:$H$8</c:f>
              <c:numCache>
                <c:formatCode>General</c:formatCode>
                <c:ptCount val="4"/>
                <c:pt idx="0">
                  <c:v>0.0</c:v>
                </c:pt>
                <c:pt idx="1">
                  <c:v>11.7</c:v>
                </c:pt>
                <c:pt idx="2">
                  <c:v>159.3</c:v>
                </c:pt>
                <c:pt idx="3">
                  <c:v>26.9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493096"/>
        <c:axId val="2136146856"/>
      </c:barChart>
      <c:catAx>
        <c:axId val="2134493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>
                    <a:latin typeface="Arial"/>
                    <a:cs typeface="Arial"/>
                  </a:rPr>
                  <a:t>Bacterial</a:t>
                </a:r>
                <a:r>
                  <a:rPr lang="en-US" baseline="0">
                    <a:latin typeface="Arial"/>
                    <a:cs typeface="Arial"/>
                  </a:rPr>
                  <a:t> Concentration (CFU/ml)</a:t>
                </a:r>
                <a:endParaRPr lang="en-US">
                  <a:latin typeface="Arial"/>
                  <a:cs typeface="Arial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n-US"/>
          </a:p>
        </c:txPr>
        <c:crossAx val="2136146856"/>
        <c:crosses val="autoZero"/>
        <c:auto val="1"/>
        <c:lblAlgn val="ctr"/>
        <c:lblOffset val="100"/>
        <c:noMultiLvlLbl val="0"/>
      </c:catAx>
      <c:valAx>
        <c:axId val="2136146856"/>
        <c:scaling>
          <c:orientation val="minMax"/>
          <c:min val="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en-US">
                    <a:latin typeface="Arial"/>
                    <a:cs typeface="Arial"/>
                  </a:rPr>
                  <a:t>Bacterial</a:t>
                </a:r>
                <a:r>
                  <a:rPr lang="en-US" baseline="0">
                    <a:latin typeface="Arial"/>
                    <a:cs typeface="Arial"/>
                  </a:rPr>
                  <a:t> Concentration in Seed (CFU/g)</a:t>
                </a:r>
                <a:endParaRPr lang="en-US">
                  <a:latin typeface="Arial"/>
                  <a:cs typeface="Arial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4493096"/>
        <c:crosses val="autoZero"/>
        <c:crossBetween val="between"/>
        <c:majorUnit val="50.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'All REPS Together'!$J$4:$J$7</c:f>
                <c:numCache>
                  <c:formatCode>General</c:formatCode>
                  <c:ptCount val="4"/>
                  <c:pt idx="0">
                    <c:v>0.707106781186548</c:v>
                  </c:pt>
                  <c:pt idx="1">
                    <c:v>3.366501646120693</c:v>
                  </c:pt>
                  <c:pt idx="2">
                    <c:v>0.707106781186548</c:v>
                  </c:pt>
                  <c:pt idx="3">
                    <c:v>15.41</c:v>
                  </c:pt>
                </c:numCache>
              </c:numRef>
            </c:plus>
            <c:minus>
              <c:numRef>
                <c:f>'All REPS Together'!$J$4:$J$7</c:f>
                <c:numCache>
                  <c:formatCode>General</c:formatCode>
                  <c:ptCount val="4"/>
                  <c:pt idx="0">
                    <c:v>0.707106781186548</c:v>
                  </c:pt>
                  <c:pt idx="1">
                    <c:v>3.366501646120693</c:v>
                  </c:pt>
                  <c:pt idx="2">
                    <c:v>0.707106781186548</c:v>
                  </c:pt>
                  <c:pt idx="3">
                    <c:v>15.41</c:v>
                  </c:pt>
                </c:numCache>
              </c:numRef>
            </c:minus>
          </c:errBars>
          <c:cat>
            <c:strRef>
              <c:f>'All REPS Together'!$H$4:$H$7</c:f>
              <c:strCache>
                <c:ptCount val="4"/>
                <c:pt idx="0">
                  <c:v>PBS</c:v>
                </c:pt>
                <c:pt idx="1">
                  <c:v>B. mojavensis RRC101</c:v>
                </c:pt>
                <c:pt idx="2">
                  <c:v>Bacillus spp. #24</c:v>
                </c:pt>
                <c:pt idx="3">
                  <c:v>Bacillus spp. #35</c:v>
                </c:pt>
              </c:strCache>
            </c:strRef>
          </c:cat>
          <c:val>
            <c:numRef>
              <c:f>'All REPS Together'!$I$4:$I$7</c:f>
              <c:numCache>
                <c:formatCode>General</c:formatCode>
                <c:ptCount val="4"/>
                <c:pt idx="0">
                  <c:v>79.7</c:v>
                </c:pt>
                <c:pt idx="1">
                  <c:v>19.4</c:v>
                </c:pt>
                <c:pt idx="2">
                  <c:v>53.2</c:v>
                </c:pt>
                <c:pt idx="3">
                  <c:v>41.7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45102808"/>
        <c:axId val="2134808024"/>
      </c:barChart>
      <c:catAx>
        <c:axId val="2145102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r>
                  <a:rPr lang="en-US" sz="1000">
                    <a:latin typeface="Arial"/>
                    <a:cs typeface="Arial"/>
                  </a:rPr>
                  <a:t>Treatment</a:t>
                </a:r>
                <a:r>
                  <a:rPr lang="en-US" sz="1000" baseline="0">
                    <a:latin typeface="Arial"/>
                    <a:cs typeface="Arial"/>
                  </a:rPr>
                  <a:t> (Bacterial Strain)</a:t>
                </a:r>
                <a:endParaRPr lang="en-US" sz="1000">
                  <a:latin typeface="Arial"/>
                  <a:cs typeface="Arial"/>
                </a:endParaRPr>
              </a:p>
            </c:rich>
          </c:tx>
          <c:layout>
            <c:manualLayout>
              <c:xMode val="edge"/>
              <c:yMode val="edge"/>
              <c:x val="0.394313323158097"/>
              <c:y val="0.877404921700224"/>
            </c:manualLayout>
          </c:layout>
          <c:overlay val="0"/>
        </c:title>
        <c:majorTickMark val="out"/>
        <c:minorTickMark val="none"/>
        <c:tickLblPos val="nextTo"/>
        <c:crossAx val="2134808024"/>
        <c:crosses val="autoZero"/>
        <c:auto val="1"/>
        <c:lblAlgn val="ctr"/>
        <c:lblOffset val="100"/>
        <c:noMultiLvlLbl val="0"/>
      </c:catAx>
      <c:valAx>
        <c:axId val="2134808024"/>
        <c:scaling>
          <c:orientation val="minMax"/>
          <c:max val="1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r>
                  <a:rPr lang="en-US" sz="1000" baseline="0">
                    <a:latin typeface="Arial"/>
                    <a:cs typeface="Arial"/>
                  </a:rPr>
                  <a:t>Bacterial Fruit Blotch Incidence (%)</a:t>
                </a:r>
                <a:endParaRPr lang="en-US" sz="1000">
                  <a:latin typeface="Arial"/>
                  <a:cs typeface="Arial"/>
                </a:endParaRPr>
              </a:p>
            </c:rich>
          </c:tx>
          <c:layout>
            <c:manualLayout>
              <c:xMode val="edge"/>
              <c:yMode val="edge"/>
              <c:x val="0.0303451831037167"/>
              <c:y val="0.06151279747749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5102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0.22878</cdr:x>
      <cdr:y>0.639</cdr:y>
    </cdr:from>
    <cdr:to>
      <cdr:x>0.29128</cdr:x>
      <cdr:y>0.76294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255164" y="1767911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  <cdr:relSizeAnchor xmlns:cdr="http://schemas.openxmlformats.org/drawingml/2006/chartDrawing">
    <cdr:from>
      <cdr:x>0.43711</cdr:x>
      <cdr:y>0.639</cdr:y>
    </cdr:from>
    <cdr:to>
      <cdr:x>0.49961</cdr:x>
      <cdr:y>0.76294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398164" y="1767911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B</a:t>
          </a:r>
        </a:p>
      </cdr:txBody>
    </cdr:sp>
  </cdr:relSizeAnchor>
  <cdr:relSizeAnchor xmlns:cdr="http://schemas.openxmlformats.org/drawingml/2006/chartDrawing">
    <cdr:from>
      <cdr:x>0.64544</cdr:x>
      <cdr:y>0.06062</cdr:y>
    </cdr:from>
    <cdr:to>
      <cdr:x>0.70794</cdr:x>
      <cdr:y>0.18456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3541164" y="167711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A</a:t>
          </a:r>
        </a:p>
      </cdr:txBody>
    </cdr:sp>
  </cdr:relSizeAnchor>
  <cdr:relSizeAnchor xmlns:cdr="http://schemas.openxmlformats.org/drawingml/2006/chartDrawing">
    <cdr:from>
      <cdr:x>0.83294</cdr:x>
      <cdr:y>0.55637</cdr:y>
    </cdr:from>
    <cdr:to>
      <cdr:x>0.91628</cdr:x>
      <cdr:y>0.68031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4569864" y="1539311"/>
          <a:ext cx="4572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0.20364</cdr:x>
      <cdr:y>0.10199</cdr:y>
    </cdr:from>
    <cdr:to>
      <cdr:x>0.27296</cdr:x>
      <cdr:y>0.22279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007336" y="289489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0.61956</cdr:x>
      <cdr:y>0.26306</cdr:y>
    </cdr:from>
    <cdr:to>
      <cdr:x>0.68888</cdr:x>
      <cdr:y>0.38387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3064736" y="746689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B</a:t>
          </a:r>
        </a:p>
      </cdr:txBody>
    </cdr:sp>
  </cdr:relSizeAnchor>
  <cdr:relSizeAnchor xmlns:cdr="http://schemas.openxmlformats.org/drawingml/2006/chartDrawing">
    <cdr:from>
      <cdr:x>0.82752</cdr:x>
      <cdr:y>0.26306</cdr:y>
    </cdr:from>
    <cdr:to>
      <cdr:x>0.89684</cdr:x>
      <cdr:y>0.38387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4093436" y="746689"/>
          <a:ext cx="3429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B</a:t>
          </a:r>
        </a:p>
      </cdr:txBody>
    </cdr:sp>
  </cdr:relSizeAnchor>
  <cdr:relSizeAnchor xmlns:cdr="http://schemas.openxmlformats.org/drawingml/2006/chartDrawing">
    <cdr:from>
      <cdr:x>0.4116</cdr:x>
      <cdr:y>0.4644</cdr:y>
    </cdr:from>
    <cdr:to>
      <cdr:x>0.50403</cdr:x>
      <cdr:y>0.62548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2036036" y="1318189"/>
          <a:ext cx="4572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C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Safira Sutton</dc:creator>
  <cp:keywords/>
  <dc:description/>
  <cp:lastModifiedBy>Safira Sutton</cp:lastModifiedBy>
  <cp:revision>2</cp:revision>
  <dcterms:created xsi:type="dcterms:W3CDTF">2015-10-15T22:39:00Z</dcterms:created>
  <dcterms:modified xsi:type="dcterms:W3CDTF">2015-10-15T22:39:00Z</dcterms:modified>
</cp:coreProperties>
</file>