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3A" w:rsidRDefault="00995F3A" w:rsidP="0099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10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>. Forage dry matter production measured on May 14, 2015 in six spring-available AFC treatments that were established in the fall of 2014 at the UNH Kingman Research Farm. Data are means ± SE, n = 4.</w:t>
      </w:r>
    </w:p>
    <w:p w:rsidR="00995F3A" w:rsidRDefault="00995F3A" w:rsidP="0099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3A" w:rsidRDefault="00995F3A" w:rsidP="001D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10">
        <w:rPr>
          <w:noProof/>
        </w:rPr>
        <w:drawing>
          <wp:inline distT="0" distB="0" distL="0" distR="0" wp14:anchorId="6519CA8E" wp14:editId="297C8F7D">
            <wp:extent cx="6373619" cy="3743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0" cy="3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40E" w:rsidRDefault="0047440E"/>
    <w:sectPr w:rsidR="0047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3A"/>
    <w:rsid w:val="001D1F23"/>
    <w:rsid w:val="0047440E"/>
    <w:rsid w:val="009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FA61-37A9-4A29-8052-F2C402D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2</cp:revision>
  <dcterms:created xsi:type="dcterms:W3CDTF">2015-12-30T19:17:00Z</dcterms:created>
  <dcterms:modified xsi:type="dcterms:W3CDTF">2015-12-30T19:22:00Z</dcterms:modified>
</cp:coreProperties>
</file>