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D7" w:rsidRPr="008C62A7" w:rsidRDefault="00B57AAB">
      <w:pPr>
        <w:rPr>
          <w:b/>
        </w:rPr>
      </w:pPr>
      <w:r w:rsidRPr="008C62A7">
        <w:rPr>
          <w:b/>
        </w:rPr>
        <w:t>Method</w:t>
      </w:r>
      <w:r w:rsidR="003C3CFF" w:rsidRPr="008C62A7">
        <w:rPr>
          <w:b/>
        </w:rPr>
        <w:t>s</w:t>
      </w:r>
    </w:p>
    <w:p w:rsidR="00B57AAB" w:rsidRPr="008C62A7" w:rsidRDefault="003C3CFF">
      <w:pPr>
        <w:rPr>
          <w:i/>
        </w:rPr>
      </w:pPr>
      <w:r w:rsidRPr="008C62A7">
        <w:rPr>
          <w:i/>
        </w:rPr>
        <w:t xml:space="preserve">Statistical Analyses </w:t>
      </w:r>
      <w:r w:rsidRPr="008C62A7">
        <w:t xml:space="preserve">– </w:t>
      </w:r>
      <w:r w:rsidR="00B57AAB" w:rsidRPr="008C62A7">
        <w:t xml:space="preserve">All statistical analyses were performed using JMP®, Version Pro 12. </w:t>
      </w:r>
      <w:proofErr w:type="gramStart"/>
      <w:r w:rsidR="00B57AAB" w:rsidRPr="008C62A7">
        <w:t>SAS Institute Inc., Cary, NC, 1989-2007.</w:t>
      </w:r>
      <w:proofErr w:type="gramEnd"/>
      <w:r w:rsidRPr="008C62A7">
        <w:t xml:space="preserve"> During the calculation of </w:t>
      </w:r>
      <w:r w:rsidRPr="008C62A7">
        <w:rPr>
          <w:i/>
        </w:rPr>
        <w:t>mite biting rate</w:t>
      </w:r>
      <w:r w:rsidRPr="008C62A7">
        <w:t xml:space="preserve">, colonies with low mite drop rates (i.e. &lt;10 mites/day) were excluded since it was not possible to obtain a realistic ratio from these data (e.g. a colony that has dropped only 1 chewed mite vs. only 1 </w:t>
      </w:r>
      <w:proofErr w:type="spellStart"/>
      <w:r w:rsidRPr="008C62A7">
        <w:t>unchewed</w:t>
      </w:r>
      <w:proofErr w:type="spellEnd"/>
      <w:r w:rsidRPr="008C62A7">
        <w:t xml:space="preserve"> mite would respectively yield a 100% and 0% biting rate). All colonies were included to the analyses </w:t>
      </w:r>
      <w:proofErr w:type="spellStart"/>
      <w:r w:rsidRPr="008C62A7">
        <w:t>incolving</w:t>
      </w:r>
      <w:proofErr w:type="spellEnd"/>
      <w:r w:rsidRPr="008C62A7">
        <w:t xml:space="preserve"> </w:t>
      </w:r>
      <w:proofErr w:type="spellStart"/>
      <w:r w:rsidRPr="008C62A7">
        <w:t>mite</w:t>
      </w:r>
      <w:proofErr w:type="spellEnd"/>
      <w:r w:rsidRPr="008C62A7">
        <w:t xml:space="preserve"> drop numbers.</w:t>
      </w:r>
    </w:p>
    <w:p w:rsidR="003C3CFF" w:rsidRPr="008C62A7" w:rsidRDefault="003C3CFF">
      <w:r w:rsidRPr="008C62A7">
        <w:t xml:space="preserve">One-way ANOVA was used to </w:t>
      </w:r>
      <w:proofErr w:type="spellStart"/>
      <w:r w:rsidRPr="008C62A7">
        <w:t>analyse</w:t>
      </w:r>
      <w:proofErr w:type="spellEnd"/>
      <w:r w:rsidRPr="008C62A7">
        <w:t xml:space="preserve"> both mite drop and biting rates of 3 groups of honey bee colonies in this study </w:t>
      </w:r>
      <w:commentRangeStart w:id="0"/>
      <w:r w:rsidRPr="008C62A7">
        <w:t>(i.e. 0%, 50%, and 100% MBB)</w:t>
      </w:r>
      <w:commentRangeEnd w:id="0"/>
      <w:r w:rsidRPr="008C62A7">
        <w:rPr>
          <w:rStyle w:val="CommentReference"/>
        </w:rPr>
        <w:commentReference w:id="0"/>
      </w:r>
      <w:r w:rsidRPr="008C62A7">
        <w:t xml:space="preserve">. Bivariate correlation was used to </w:t>
      </w:r>
      <w:proofErr w:type="spellStart"/>
      <w:r w:rsidRPr="008C62A7">
        <w:t>analyse</w:t>
      </w:r>
      <w:proofErr w:type="spellEnd"/>
      <w:r w:rsidRPr="008C62A7">
        <w:t xml:space="preserve"> the correlation between mite drop and biting rate of colonies. </w:t>
      </w:r>
    </w:p>
    <w:p w:rsidR="003C3CFF" w:rsidRPr="008C62A7" w:rsidRDefault="003C3CFF">
      <w:pPr>
        <w:rPr>
          <w:b/>
        </w:rPr>
      </w:pPr>
      <w:r w:rsidRPr="008C62A7">
        <w:rPr>
          <w:b/>
        </w:rPr>
        <w:t>Results</w:t>
      </w:r>
      <w:r w:rsidR="006F5757" w:rsidRPr="008C62A7">
        <w:rPr>
          <w:b/>
        </w:rPr>
        <w:t xml:space="preserve"> and Discussion</w:t>
      </w:r>
    </w:p>
    <w:p w:rsidR="003C3CFF" w:rsidRPr="008C62A7" w:rsidRDefault="006F5757">
      <w:proofErr w:type="spellStart"/>
      <w:r w:rsidRPr="008C62A7">
        <w:rPr>
          <w:i/>
        </w:rPr>
        <w:t>Varroa</w:t>
      </w:r>
      <w:proofErr w:type="spellEnd"/>
      <w:r w:rsidRPr="008C62A7">
        <w:rPr>
          <w:i/>
        </w:rPr>
        <w:t xml:space="preserve"> drop numbers (Figure 1)</w:t>
      </w:r>
      <w:r w:rsidRPr="008C62A7">
        <w:t xml:space="preserve"> – Group 2 had the highest daily mite drop numbers (36.12 mites/day), Group 1 was intermediate </w:t>
      </w:r>
      <w:r w:rsidRPr="008C62A7">
        <w:t>(</w:t>
      </w:r>
      <w:r w:rsidRPr="008C62A7">
        <w:t>28.67</w:t>
      </w:r>
      <w:r w:rsidRPr="008C62A7">
        <w:t xml:space="preserve"> mites/day)</w:t>
      </w:r>
      <w:r w:rsidRPr="008C62A7">
        <w:t xml:space="preserve">, and Group 3 had the lowest number </w:t>
      </w:r>
      <w:r w:rsidRPr="008C62A7">
        <w:t>(</w:t>
      </w:r>
      <w:r w:rsidRPr="008C62A7">
        <w:t xml:space="preserve">23.17 </w:t>
      </w:r>
      <w:r w:rsidRPr="008C62A7">
        <w:t>mites/day)</w:t>
      </w:r>
      <w:r w:rsidRPr="008C62A7">
        <w:t xml:space="preserve"> (p=0.0186). However, being in a different group explained only a small portion of the observed difference </w:t>
      </w:r>
      <w:r w:rsidR="008C62A7" w:rsidRPr="008C62A7">
        <w:t>between</w:t>
      </w:r>
      <w:r w:rsidRPr="008C62A7">
        <w:t xml:space="preserve"> mite drop </w:t>
      </w:r>
      <w:r w:rsidR="008C62A7" w:rsidRPr="008C62A7">
        <w:t xml:space="preserve">numbers of the </w:t>
      </w:r>
      <w:r w:rsidRPr="008C62A7">
        <w:t>colonies in the experiment (</w:t>
      </w:r>
      <w:proofErr w:type="spellStart"/>
      <w:r w:rsidRPr="008C62A7">
        <w:t>Rsq</w:t>
      </w:r>
      <w:proofErr w:type="spellEnd"/>
      <w:r w:rsidRPr="008C62A7">
        <w:t xml:space="preserve">=0.062). Hence, while the genetic </w:t>
      </w:r>
      <w:r w:rsidR="008C62A7" w:rsidRPr="008C62A7">
        <w:t>background of colonies has</w:t>
      </w:r>
      <w:r w:rsidRPr="008C62A7">
        <w:t xml:space="preserve"> an effect on the number of mites dropped, there seems to be other factors </w:t>
      </w:r>
      <w:r w:rsidR="008C62A7" w:rsidRPr="008C62A7">
        <w:t>affecting</w:t>
      </w:r>
      <w:r w:rsidRPr="008C62A7">
        <w:t xml:space="preserve"> this. Here it should be noted that </w:t>
      </w:r>
      <w:proofErr w:type="spellStart"/>
      <w:r w:rsidRPr="008C62A7">
        <w:t>mite</w:t>
      </w:r>
      <w:proofErr w:type="spellEnd"/>
      <w:r w:rsidRPr="008C62A7">
        <w:t xml:space="preserve"> drop is not independent from mite infestation which is further correlated with general colony health, population size, demographics and many other individual and colony level factors. Hence, it is an experimental and statistical challenge to explain mite drop by a single factor.</w:t>
      </w:r>
    </w:p>
    <w:p w:rsidR="006F5757" w:rsidRPr="00BE299D" w:rsidRDefault="00BE299D">
      <w:pPr>
        <w:rPr>
          <w:b/>
        </w:rPr>
      </w:pPr>
      <w:r w:rsidRPr="00BE299D">
        <w:rPr>
          <w:b/>
        </w:rPr>
        <w:t>Figure 1</w:t>
      </w:r>
    </w:p>
    <w:p w:rsidR="00BE299D" w:rsidRPr="008C62A7" w:rsidRDefault="00BE299D">
      <w:commentRangeStart w:id="1"/>
      <w:r>
        <w:rPr>
          <w:noProof/>
        </w:rPr>
        <w:drawing>
          <wp:inline distT="0" distB="0" distL="0" distR="0" wp14:anchorId="42908230" wp14:editId="3CDF5191">
            <wp:extent cx="3200400" cy="22860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commentRangeEnd w:id="1"/>
      <w:r>
        <w:rPr>
          <w:rStyle w:val="CommentReference"/>
        </w:rPr>
        <w:commentReference w:id="1"/>
      </w:r>
    </w:p>
    <w:p w:rsidR="00BE299D" w:rsidRDefault="00BE299D" w:rsidP="006F5757">
      <w:pPr>
        <w:rPr>
          <w:i/>
        </w:rPr>
      </w:pPr>
    </w:p>
    <w:p w:rsidR="006F5757" w:rsidRPr="008C62A7" w:rsidRDefault="006F5757" w:rsidP="006F5757">
      <w:proofErr w:type="spellStart"/>
      <w:r w:rsidRPr="008C62A7">
        <w:rPr>
          <w:i/>
        </w:rPr>
        <w:t>Varroa</w:t>
      </w:r>
      <w:proofErr w:type="spellEnd"/>
      <w:r w:rsidRPr="008C62A7">
        <w:rPr>
          <w:i/>
        </w:rPr>
        <w:t xml:space="preserve"> </w:t>
      </w:r>
      <w:r w:rsidRPr="008C62A7">
        <w:rPr>
          <w:i/>
        </w:rPr>
        <w:t>biting</w:t>
      </w:r>
      <w:r w:rsidRPr="008C62A7">
        <w:rPr>
          <w:i/>
        </w:rPr>
        <w:t xml:space="preserve"> rates (Figure </w:t>
      </w:r>
      <w:r w:rsidRPr="008C62A7">
        <w:rPr>
          <w:i/>
        </w:rPr>
        <w:t>2</w:t>
      </w:r>
      <w:r w:rsidRPr="008C62A7">
        <w:rPr>
          <w:i/>
        </w:rPr>
        <w:t>)</w:t>
      </w:r>
      <w:r w:rsidRPr="008C62A7">
        <w:t xml:space="preserve"> – Group </w:t>
      </w:r>
      <w:r w:rsidRPr="008C62A7">
        <w:t>1</w:t>
      </w:r>
      <w:r w:rsidRPr="008C62A7">
        <w:t xml:space="preserve"> had the highest </w:t>
      </w:r>
      <w:r w:rsidRPr="008C62A7">
        <w:t xml:space="preserve">percentage of chewed </w:t>
      </w:r>
      <w:proofErr w:type="spellStart"/>
      <w:r w:rsidRPr="008C62A7">
        <w:t>Varroa</w:t>
      </w:r>
      <w:proofErr w:type="spellEnd"/>
      <w:r w:rsidRPr="008C62A7">
        <w:t xml:space="preserve"> mites </w:t>
      </w:r>
      <w:r w:rsidR="008C62A7" w:rsidRPr="008C62A7">
        <w:t xml:space="preserve">(38.68%) </w:t>
      </w:r>
      <w:r w:rsidRPr="008C62A7">
        <w:t xml:space="preserve">within the total that had </w:t>
      </w:r>
      <w:r w:rsidRPr="008C62A7">
        <w:t>drop</w:t>
      </w:r>
      <w:r w:rsidRPr="008C62A7">
        <w:t>ped on sticky boards,</w:t>
      </w:r>
      <w:r w:rsidRPr="008C62A7">
        <w:t xml:space="preserve"> Group </w:t>
      </w:r>
      <w:r w:rsidRPr="008C62A7">
        <w:t>2</w:t>
      </w:r>
      <w:r w:rsidRPr="008C62A7">
        <w:t xml:space="preserve"> was intermediate</w:t>
      </w:r>
      <w:r w:rsidR="008C62A7" w:rsidRPr="008C62A7">
        <w:t xml:space="preserve"> </w:t>
      </w:r>
      <w:r w:rsidR="008C62A7" w:rsidRPr="008C62A7">
        <w:t>(3</w:t>
      </w:r>
      <w:r w:rsidR="008C62A7" w:rsidRPr="008C62A7">
        <w:t>2</w:t>
      </w:r>
      <w:r w:rsidR="008C62A7" w:rsidRPr="008C62A7">
        <w:t>.</w:t>
      </w:r>
      <w:r w:rsidR="008C62A7" w:rsidRPr="008C62A7">
        <w:t>0</w:t>
      </w:r>
      <w:r w:rsidR="008C62A7" w:rsidRPr="008C62A7">
        <w:t>6%)</w:t>
      </w:r>
      <w:r w:rsidRPr="008C62A7">
        <w:t>,</w:t>
      </w:r>
      <w:r w:rsidRPr="008C62A7">
        <w:t xml:space="preserve"> and Group 3 </w:t>
      </w:r>
      <w:r w:rsidRPr="008C62A7">
        <w:t>had</w:t>
      </w:r>
      <w:r w:rsidRPr="008C62A7">
        <w:t xml:space="preserve"> the lowest </w:t>
      </w:r>
      <w:r w:rsidRPr="008C62A7">
        <w:t>percentage</w:t>
      </w:r>
      <w:r w:rsidR="008C62A7" w:rsidRPr="008C62A7">
        <w:t xml:space="preserve"> </w:t>
      </w:r>
      <w:r w:rsidR="008C62A7" w:rsidRPr="008C62A7">
        <w:t>(</w:t>
      </w:r>
      <w:r w:rsidR="008C62A7" w:rsidRPr="008C62A7">
        <w:t>20</w:t>
      </w:r>
      <w:r w:rsidR="008C62A7" w:rsidRPr="008C62A7">
        <w:t>.</w:t>
      </w:r>
      <w:r w:rsidR="008C62A7" w:rsidRPr="008C62A7">
        <w:t>91</w:t>
      </w:r>
      <w:r w:rsidR="008C62A7" w:rsidRPr="008C62A7">
        <w:t>%</w:t>
      </w:r>
      <w:r w:rsidR="008C62A7" w:rsidRPr="008C62A7">
        <w:t>)</w:t>
      </w:r>
      <w:r w:rsidRPr="008C62A7">
        <w:t xml:space="preserve"> </w:t>
      </w:r>
      <w:r w:rsidRPr="008C62A7">
        <w:t>(p=0.0</w:t>
      </w:r>
      <w:r w:rsidR="008C62A7" w:rsidRPr="008C62A7">
        <w:t>074</w:t>
      </w:r>
      <w:r w:rsidRPr="008C62A7">
        <w:t xml:space="preserve">). </w:t>
      </w:r>
      <w:r w:rsidR="008C62A7" w:rsidRPr="008C62A7">
        <w:t>Once again</w:t>
      </w:r>
      <w:r w:rsidRPr="008C62A7">
        <w:t xml:space="preserve">, being in a different group explained only a small portion of the observed difference </w:t>
      </w:r>
      <w:r w:rsidR="008C62A7" w:rsidRPr="008C62A7">
        <w:t>between</w:t>
      </w:r>
      <w:r w:rsidRPr="008C62A7">
        <w:t xml:space="preserve"> mite </w:t>
      </w:r>
      <w:r w:rsidR="008C62A7" w:rsidRPr="008C62A7">
        <w:t>biting rates</w:t>
      </w:r>
      <w:r w:rsidRPr="008C62A7">
        <w:t xml:space="preserve"> </w:t>
      </w:r>
      <w:r w:rsidR="008C62A7" w:rsidRPr="008C62A7">
        <w:t xml:space="preserve">of the </w:t>
      </w:r>
      <w:r w:rsidRPr="008C62A7">
        <w:t xml:space="preserve">colonies in the experiment </w:t>
      </w:r>
      <w:r w:rsidRPr="008C62A7">
        <w:lastRenderedPageBreak/>
        <w:t>(</w:t>
      </w:r>
      <w:proofErr w:type="spellStart"/>
      <w:r w:rsidRPr="008C62A7">
        <w:t>Rsq</w:t>
      </w:r>
      <w:proofErr w:type="spellEnd"/>
      <w:r w:rsidRPr="008C62A7">
        <w:t>=0.0</w:t>
      </w:r>
      <w:r w:rsidR="008C62A7" w:rsidRPr="008C62A7">
        <w:t>87</w:t>
      </w:r>
      <w:r w:rsidRPr="008C62A7">
        <w:t xml:space="preserve">). </w:t>
      </w:r>
      <w:r w:rsidR="008C62A7">
        <w:t>As stated above, establishing</w:t>
      </w:r>
      <w:r w:rsidR="008C62A7" w:rsidRPr="008C62A7">
        <w:t xml:space="preserve"> strong correlation </w:t>
      </w:r>
      <w:r w:rsidR="008C62A7">
        <w:t>between a single variable and a complex measure influenced by multiple factors is rather unlikely.</w:t>
      </w:r>
    </w:p>
    <w:p w:rsidR="006F5757" w:rsidRPr="00BE299D" w:rsidRDefault="00BE299D">
      <w:pPr>
        <w:rPr>
          <w:b/>
        </w:rPr>
      </w:pPr>
      <w:r w:rsidRPr="00BE299D">
        <w:rPr>
          <w:b/>
        </w:rPr>
        <w:t>Figure 2</w:t>
      </w:r>
    </w:p>
    <w:p w:rsidR="00BE299D" w:rsidRDefault="00BE299D">
      <w:r>
        <w:rPr>
          <w:noProof/>
        </w:rPr>
        <w:drawing>
          <wp:inline distT="0" distB="0" distL="0" distR="0" wp14:anchorId="3AB4EDE0" wp14:editId="5AE3FA48">
            <wp:extent cx="3200400" cy="2286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299D" w:rsidRDefault="00BE299D">
      <w:pPr>
        <w:rPr>
          <w:i/>
        </w:rPr>
      </w:pPr>
    </w:p>
    <w:p w:rsidR="008C62A7" w:rsidRDefault="008C62A7">
      <w:proofErr w:type="spellStart"/>
      <w:r w:rsidRPr="00BE299D">
        <w:rPr>
          <w:i/>
        </w:rPr>
        <w:t>Varroa</w:t>
      </w:r>
      <w:proofErr w:type="spellEnd"/>
      <w:r w:rsidRPr="00BE299D">
        <w:rPr>
          <w:i/>
        </w:rPr>
        <w:t xml:space="preserve"> drop numbers vs. biting rate (Figure 3)</w:t>
      </w:r>
      <w:r>
        <w:t xml:space="preserve"> – Biting rates of colonies in this study were negatively correlated with number of </w:t>
      </w:r>
      <w:proofErr w:type="spellStart"/>
      <w:r>
        <w:t>Varroa</w:t>
      </w:r>
      <w:proofErr w:type="spellEnd"/>
      <w:r>
        <w:t xml:space="preserve"> mites dropped by the colonies (p=0.0035, </w:t>
      </w:r>
      <w:proofErr w:type="spellStart"/>
      <w:r>
        <w:t>Rsq</w:t>
      </w:r>
      <w:proofErr w:type="spellEnd"/>
      <w:r>
        <w:t>=0.066). However, the bivariate model in our analysis resulted in a weak correlation, indicating possible other factors acting on the variables (i.e. drop numbers and biting rate)</w:t>
      </w:r>
      <w:r w:rsidR="00BE299D">
        <w:t xml:space="preserve">. The red line in Figure 3 represents the fit of correlation. A larger slope of the fit line (hence the </w:t>
      </w:r>
      <w:proofErr w:type="spellStart"/>
      <w:r w:rsidR="00BE299D">
        <w:t>Rsq</w:t>
      </w:r>
      <w:proofErr w:type="spellEnd"/>
      <w:r w:rsidR="00BE299D">
        <w:t xml:space="preserve"> value) indicates stronger correlation between the variables.</w:t>
      </w:r>
      <w:bookmarkStart w:id="2" w:name="_GoBack"/>
      <w:bookmarkEnd w:id="2"/>
    </w:p>
    <w:p w:rsidR="00BE299D" w:rsidRDefault="00BE299D">
      <w:pPr>
        <w:rPr>
          <w:b/>
        </w:rPr>
      </w:pPr>
      <w:r w:rsidRPr="00BE299D">
        <w:rPr>
          <w:b/>
        </w:rPr>
        <w:t>Figure 3</w:t>
      </w:r>
    </w:p>
    <w:p w:rsidR="00BE299D" w:rsidRPr="00BE299D" w:rsidRDefault="00BE299D">
      <w:r>
        <w:rPr>
          <w:noProof/>
        </w:rPr>
        <w:drawing>
          <wp:inline distT="0" distB="0" distL="0" distR="0" wp14:anchorId="3288D330" wp14:editId="09589DEB">
            <wp:extent cx="3196742" cy="2286778"/>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95654" cy="2286000"/>
                    </a:xfrm>
                    <a:prstGeom prst="rect">
                      <a:avLst/>
                    </a:prstGeom>
                  </pic:spPr>
                </pic:pic>
              </a:graphicData>
            </a:graphic>
          </wp:inline>
        </w:drawing>
      </w:r>
    </w:p>
    <w:sectPr w:rsidR="00BE299D" w:rsidRPr="00BE29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i" w:date="2016-01-17T17:25:00Z" w:initials="M">
    <w:p w:rsidR="003C3CFF" w:rsidRDefault="003C3CFF">
      <w:pPr>
        <w:pStyle w:val="CommentText"/>
      </w:pPr>
      <w:r>
        <w:rPr>
          <w:rStyle w:val="CommentReference"/>
        </w:rPr>
        <w:annotationRef/>
      </w:r>
      <w:r>
        <w:t>You may want to explain this in greater detail or reference another part of the report where it is already explained.</w:t>
      </w:r>
    </w:p>
  </w:comment>
  <w:comment w:id="1" w:author="Mali" w:date="2016-01-17T18:47:00Z" w:initials="M">
    <w:p w:rsidR="00BE299D" w:rsidRDefault="00BE299D">
      <w:pPr>
        <w:pStyle w:val="CommentText"/>
      </w:pPr>
      <w:r>
        <w:rPr>
          <w:rStyle w:val="CommentReference"/>
        </w:rPr>
        <w:annotationRef/>
      </w:r>
      <w:r>
        <w:t>This title is begging for something better than “bee types”…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AB"/>
    <w:rsid w:val="002D53D7"/>
    <w:rsid w:val="003C3CFF"/>
    <w:rsid w:val="006F5757"/>
    <w:rsid w:val="008C62A7"/>
    <w:rsid w:val="00B209AB"/>
    <w:rsid w:val="00B57AAB"/>
    <w:rsid w:val="00B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CFF"/>
    <w:rPr>
      <w:sz w:val="16"/>
      <w:szCs w:val="16"/>
    </w:rPr>
  </w:style>
  <w:style w:type="paragraph" w:styleId="CommentText">
    <w:name w:val="annotation text"/>
    <w:basedOn w:val="Normal"/>
    <w:link w:val="CommentTextChar"/>
    <w:uiPriority w:val="99"/>
    <w:semiHidden/>
    <w:unhideWhenUsed/>
    <w:rsid w:val="003C3CFF"/>
    <w:pPr>
      <w:spacing w:line="240" w:lineRule="auto"/>
    </w:pPr>
    <w:rPr>
      <w:sz w:val="20"/>
      <w:szCs w:val="20"/>
    </w:rPr>
  </w:style>
  <w:style w:type="character" w:customStyle="1" w:styleId="CommentTextChar">
    <w:name w:val="Comment Text Char"/>
    <w:basedOn w:val="DefaultParagraphFont"/>
    <w:link w:val="CommentText"/>
    <w:uiPriority w:val="99"/>
    <w:semiHidden/>
    <w:rsid w:val="003C3CFF"/>
    <w:rPr>
      <w:sz w:val="20"/>
      <w:szCs w:val="20"/>
    </w:rPr>
  </w:style>
  <w:style w:type="paragraph" w:styleId="CommentSubject">
    <w:name w:val="annotation subject"/>
    <w:basedOn w:val="CommentText"/>
    <w:next w:val="CommentText"/>
    <w:link w:val="CommentSubjectChar"/>
    <w:uiPriority w:val="99"/>
    <w:semiHidden/>
    <w:unhideWhenUsed/>
    <w:rsid w:val="003C3CFF"/>
    <w:rPr>
      <w:b/>
      <w:bCs/>
    </w:rPr>
  </w:style>
  <w:style w:type="character" w:customStyle="1" w:styleId="CommentSubjectChar">
    <w:name w:val="Comment Subject Char"/>
    <w:basedOn w:val="CommentTextChar"/>
    <w:link w:val="CommentSubject"/>
    <w:uiPriority w:val="99"/>
    <w:semiHidden/>
    <w:rsid w:val="003C3CFF"/>
    <w:rPr>
      <w:b/>
      <w:bCs/>
      <w:sz w:val="20"/>
      <w:szCs w:val="20"/>
    </w:rPr>
  </w:style>
  <w:style w:type="paragraph" w:styleId="BalloonText">
    <w:name w:val="Balloon Text"/>
    <w:basedOn w:val="Normal"/>
    <w:link w:val="BalloonTextChar"/>
    <w:uiPriority w:val="99"/>
    <w:semiHidden/>
    <w:unhideWhenUsed/>
    <w:rsid w:val="003C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CFF"/>
    <w:rPr>
      <w:sz w:val="16"/>
      <w:szCs w:val="16"/>
    </w:rPr>
  </w:style>
  <w:style w:type="paragraph" w:styleId="CommentText">
    <w:name w:val="annotation text"/>
    <w:basedOn w:val="Normal"/>
    <w:link w:val="CommentTextChar"/>
    <w:uiPriority w:val="99"/>
    <w:semiHidden/>
    <w:unhideWhenUsed/>
    <w:rsid w:val="003C3CFF"/>
    <w:pPr>
      <w:spacing w:line="240" w:lineRule="auto"/>
    </w:pPr>
    <w:rPr>
      <w:sz w:val="20"/>
      <w:szCs w:val="20"/>
    </w:rPr>
  </w:style>
  <w:style w:type="character" w:customStyle="1" w:styleId="CommentTextChar">
    <w:name w:val="Comment Text Char"/>
    <w:basedOn w:val="DefaultParagraphFont"/>
    <w:link w:val="CommentText"/>
    <w:uiPriority w:val="99"/>
    <w:semiHidden/>
    <w:rsid w:val="003C3CFF"/>
    <w:rPr>
      <w:sz w:val="20"/>
      <w:szCs w:val="20"/>
    </w:rPr>
  </w:style>
  <w:style w:type="paragraph" w:styleId="CommentSubject">
    <w:name w:val="annotation subject"/>
    <w:basedOn w:val="CommentText"/>
    <w:next w:val="CommentText"/>
    <w:link w:val="CommentSubjectChar"/>
    <w:uiPriority w:val="99"/>
    <w:semiHidden/>
    <w:unhideWhenUsed/>
    <w:rsid w:val="003C3CFF"/>
    <w:rPr>
      <w:b/>
      <w:bCs/>
    </w:rPr>
  </w:style>
  <w:style w:type="character" w:customStyle="1" w:styleId="CommentSubjectChar">
    <w:name w:val="Comment Subject Char"/>
    <w:basedOn w:val="CommentTextChar"/>
    <w:link w:val="CommentSubject"/>
    <w:uiPriority w:val="99"/>
    <w:semiHidden/>
    <w:rsid w:val="003C3CFF"/>
    <w:rPr>
      <w:b/>
      <w:bCs/>
      <w:sz w:val="20"/>
      <w:szCs w:val="20"/>
    </w:rPr>
  </w:style>
  <w:style w:type="paragraph" w:styleId="BalloonText">
    <w:name w:val="Balloon Text"/>
    <w:basedOn w:val="Normal"/>
    <w:link w:val="BalloonTextChar"/>
    <w:uiPriority w:val="99"/>
    <w:semiHidden/>
    <w:unhideWhenUsed/>
    <w:rsid w:val="003C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Mali\Documents\Grozinger%20Lab\Jeff%20Berta%20SARE\Resul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tr-TR" sz="1200"/>
              <a:t>Varroa drop</a:t>
            </a:r>
            <a:r>
              <a:rPr lang="en-US" sz="1200"/>
              <a:t> of the bee types</a:t>
            </a:r>
          </a:p>
        </c:rich>
      </c:tx>
      <c:overlay val="0"/>
    </c:title>
    <c:autoTitleDeleted val="0"/>
    <c:plotArea>
      <c:layout>
        <c:manualLayout>
          <c:layoutTarget val="inner"/>
          <c:xMode val="edge"/>
          <c:yMode val="edge"/>
          <c:x val="0.18573162729658793"/>
          <c:y val="0.20611111111111111"/>
          <c:w val="0.74368952140843181"/>
          <c:h val="0.59560393186145855"/>
        </c:manualLayout>
      </c:layout>
      <c:barChart>
        <c:barDir val="col"/>
        <c:grouping val="clustered"/>
        <c:varyColors val="0"/>
        <c:ser>
          <c:idx val="0"/>
          <c:order val="0"/>
          <c:invertIfNegative val="0"/>
          <c:dLbls>
            <c:dLbl>
              <c:idx val="0"/>
              <c:layout>
                <c:manualLayout>
                  <c:x val="0"/>
                  <c:y val="-2.6143781879888878E-2"/>
                </c:manualLayout>
              </c:layout>
              <c:tx>
                <c:rich>
                  <a:bodyPr/>
                  <a:lstStyle/>
                  <a:p>
                    <a:r>
                      <a:rPr lang="tr-TR" sz="1000"/>
                      <a:t>AB</a:t>
                    </a:r>
                    <a:endParaRPr lang="en-US"/>
                  </a:p>
                </c:rich>
              </c:tx>
              <c:dLblPos val="outEnd"/>
              <c:showLegendKey val="0"/>
              <c:showVal val="1"/>
              <c:showCatName val="0"/>
              <c:showSerName val="0"/>
              <c:showPercent val="0"/>
              <c:showBubbleSize val="0"/>
            </c:dLbl>
            <c:dLbl>
              <c:idx val="1"/>
              <c:layout>
                <c:manualLayout>
                  <c:x val="-3.0864197530864196E-3"/>
                  <c:y val="-2.6143781879888878E-2"/>
                </c:manualLayout>
              </c:layout>
              <c:tx>
                <c:rich>
                  <a:bodyPr/>
                  <a:lstStyle/>
                  <a:p>
                    <a:r>
                      <a:rPr lang="tr-TR" sz="1000"/>
                      <a:t> A</a:t>
                    </a:r>
                    <a:endParaRPr lang="en-US"/>
                  </a:p>
                </c:rich>
              </c:tx>
              <c:dLblPos val="outEnd"/>
              <c:showLegendKey val="0"/>
              <c:showVal val="1"/>
              <c:showCatName val="0"/>
              <c:showSerName val="0"/>
              <c:showPercent val="0"/>
              <c:showBubbleSize val="0"/>
            </c:dLbl>
            <c:dLbl>
              <c:idx val="2"/>
              <c:layout>
                <c:manualLayout>
                  <c:x val="0"/>
                  <c:y val="-2.6143781879888878E-2"/>
                </c:manualLayout>
              </c:layout>
              <c:tx>
                <c:rich>
                  <a:bodyPr/>
                  <a:lstStyle/>
                  <a:p>
                    <a:r>
                      <a:rPr lang="tr-TR" sz="1000"/>
                      <a:t>B</a:t>
                    </a:r>
                    <a:endParaRPr lang="en-US"/>
                  </a:p>
                </c:rich>
              </c:tx>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errBars>
            <c:errBarType val="both"/>
            <c:errValType val="cust"/>
            <c:noEndCap val="0"/>
            <c:plus>
              <c:numRef>
                <c:f>Sheet1!$J$3:$J$5</c:f>
                <c:numCache>
                  <c:formatCode>General</c:formatCode>
                  <c:ptCount val="3"/>
                  <c:pt idx="0">
                    <c:v>3.08</c:v>
                  </c:pt>
                  <c:pt idx="1">
                    <c:v>3.19</c:v>
                  </c:pt>
                  <c:pt idx="2">
                    <c:v>3.22</c:v>
                  </c:pt>
                </c:numCache>
              </c:numRef>
            </c:plus>
            <c:minus>
              <c:numRef>
                <c:f>Sheet1!$J$3:$J$5</c:f>
                <c:numCache>
                  <c:formatCode>General</c:formatCode>
                  <c:ptCount val="3"/>
                  <c:pt idx="0">
                    <c:v>3.08</c:v>
                  </c:pt>
                  <c:pt idx="1">
                    <c:v>3.19</c:v>
                  </c:pt>
                  <c:pt idx="2">
                    <c:v>3.22</c:v>
                  </c:pt>
                </c:numCache>
              </c:numRef>
            </c:minus>
            <c:spPr>
              <a:ln w="19050"/>
            </c:spPr>
          </c:errBars>
          <c:val>
            <c:numRef>
              <c:f>Sheet1!$I$3:$I$5</c:f>
              <c:numCache>
                <c:formatCode>General</c:formatCode>
                <c:ptCount val="3"/>
                <c:pt idx="0">
                  <c:v>28.67</c:v>
                </c:pt>
                <c:pt idx="1">
                  <c:v>36.119999999999997</c:v>
                </c:pt>
                <c:pt idx="2">
                  <c:v>23.17</c:v>
                </c:pt>
              </c:numCache>
            </c:numRef>
          </c:val>
        </c:ser>
        <c:dLbls>
          <c:dLblPos val="outEnd"/>
          <c:showLegendKey val="0"/>
          <c:showVal val="1"/>
          <c:showCatName val="0"/>
          <c:showSerName val="0"/>
          <c:showPercent val="0"/>
          <c:showBubbleSize val="0"/>
        </c:dLbls>
        <c:gapWidth val="150"/>
        <c:axId val="101863424"/>
        <c:axId val="101896576"/>
      </c:barChart>
      <c:catAx>
        <c:axId val="101863424"/>
        <c:scaling>
          <c:orientation val="minMax"/>
        </c:scaling>
        <c:delete val="0"/>
        <c:axPos val="b"/>
        <c:title>
          <c:tx>
            <c:rich>
              <a:bodyPr/>
              <a:lstStyle/>
              <a:p>
                <a:pPr>
                  <a:defRPr sz="1200" b="0"/>
                </a:pPr>
                <a:r>
                  <a:rPr lang="tr-TR" sz="1200"/>
                  <a:t>Group #</a:t>
                </a:r>
                <a:endParaRPr lang="en-US" sz="1200"/>
              </a:p>
            </c:rich>
          </c:tx>
          <c:overlay val="0"/>
        </c:title>
        <c:majorTickMark val="none"/>
        <c:minorTickMark val="none"/>
        <c:tickLblPos val="nextTo"/>
        <c:txPr>
          <a:bodyPr/>
          <a:lstStyle/>
          <a:p>
            <a:pPr>
              <a:defRPr sz="1000"/>
            </a:pPr>
            <a:endParaRPr lang="en-US"/>
          </a:p>
        </c:txPr>
        <c:crossAx val="101896576"/>
        <c:crosses val="autoZero"/>
        <c:auto val="1"/>
        <c:lblAlgn val="ctr"/>
        <c:lblOffset val="100"/>
        <c:noMultiLvlLbl val="0"/>
      </c:catAx>
      <c:valAx>
        <c:axId val="101896576"/>
        <c:scaling>
          <c:orientation val="minMax"/>
          <c:max val="50"/>
          <c:min val="0"/>
        </c:scaling>
        <c:delete val="0"/>
        <c:axPos val="l"/>
        <c:title>
          <c:tx>
            <c:rich>
              <a:bodyPr rot="-5400000" vert="horz"/>
              <a:lstStyle/>
              <a:p>
                <a:pPr>
                  <a:defRPr sz="1200" b="0"/>
                </a:pPr>
                <a:r>
                  <a:rPr lang="tr-TR" sz="1200"/>
                  <a:t>Daily</a:t>
                </a:r>
                <a:r>
                  <a:rPr lang="tr-TR" sz="1200" baseline="0"/>
                  <a:t> Varroa Drop</a:t>
                </a:r>
                <a:endParaRPr lang="en-US" sz="1200"/>
              </a:p>
            </c:rich>
          </c:tx>
          <c:layout>
            <c:manualLayout>
              <c:xMode val="edge"/>
              <c:yMode val="edge"/>
              <c:x val="1.7679580917769895E-2"/>
              <c:y val="0.23443705669823967"/>
            </c:manualLayout>
          </c:layout>
          <c:overlay val="0"/>
        </c:title>
        <c:numFmt formatCode="General" sourceLinked="1"/>
        <c:majorTickMark val="none"/>
        <c:minorTickMark val="none"/>
        <c:tickLblPos val="nextTo"/>
        <c:txPr>
          <a:bodyPr/>
          <a:lstStyle/>
          <a:p>
            <a:pPr>
              <a:defRPr sz="1000"/>
            </a:pPr>
            <a:endParaRPr lang="en-US"/>
          </a:p>
        </c:txPr>
        <c:crossAx val="101863424"/>
        <c:crosses val="autoZero"/>
        <c:crossBetween val="between"/>
        <c:majorUnit val="10"/>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Varroa </a:t>
            </a:r>
            <a:r>
              <a:rPr lang="tr-TR" sz="1200" b="1"/>
              <a:t>biting rates of the</a:t>
            </a:r>
            <a:r>
              <a:rPr lang="tr-TR" sz="1200" b="1" baseline="0"/>
              <a:t> bee types</a:t>
            </a:r>
            <a:endParaRPr lang="en-US" sz="1200" b="1"/>
          </a:p>
        </c:rich>
      </c:tx>
      <c:overlay val="0"/>
    </c:title>
    <c:autoTitleDeleted val="0"/>
    <c:plotArea>
      <c:layout>
        <c:manualLayout>
          <c:layoutTarget val="inner"/>
          <c:xMode val="edge"/>
          <c:yMode val="edge"/>
          <c:x val="0.18573162729658793"/>
          <c:y val="0.20611111111111111"/>
          <c:w val="0.74368952140843181"/>
          <c:h val="0.59560393186145855"/>
        </c:manualLayout>
      </c:layout>
      <c:barChart>
        <c:barDir val="col"/>
        <c:grouping val="clustered"/>
        <c:varyColors val="0"/>
        <c:ser>
          <c:idx val="1"/>
          <c:order val="0"/>
          <c:tx>
            <c:strRef>
              <c:f>Sheet1!$B$2</c:f>
              <c:strCache>
                <c:ptCount val="1"/>
                <c:pt idx="0">
                  <c:v>Percent Chewed</c:v>
                </c:pt>
              </c:strCache>
            </c:strRef>
          </c:tx>
          <c:spPr>
            <a:solidFill>
              <a:srgbClr val="4F81BD"/>
            </a:solidFill>
          </c:spPr>
          <c:invertIfNegative val="0"/>
          <c:dLbls>
            <c:dLbl>
              <c:idx val="0"/>
              <c:layout>
                <c:manualLayout>
                  <c:x val="-3.0935808197989174E-3"/>
                  <c:y val="-3.4858387799564274E-2"/>
                </c:manualLayout>
              </c:layout>
              <c:tx>
                <c:rich>
                  <a:bodyPr/>
                  <a:lstStyle/>
                  <a:p>
                    <a:r>
                      <a:rPr lang="tr-TR" sz="1000"/>
                      <a:t> A</a:t>
                    </a:r>
                    <a:endParaRPr lang="en-US"/>
                  </a:p>
                </c:rich>
              </c:tx>
              <c:dLblPos val="outEnd"/>
              <c:showLegendKey val="0"/>
              <c:showVal val="1"/>
              <c:showCatName val="0"/>
              <c:showSerName val="0"/>
              <c:showPercent val="0"/>
              <c:showBubbleSize val="0"/>
            </c:dLbl>
            <c:dLbl>
              <c:idx val="1"/>
              <c:layout>
                <c:manualLayout>
                  <c:x val="0"/>
                  <c:y val="-3.9215686274509803E-2"/>
                </c:manualLayout>
              </c:layout>
              <c:tx>
                <c:rich>
                  <a:bodyPr/>
                  <a:lstStyle/>
                  <a:p>
                    <a:r>
                      <a:rPr lang="tr-TR" sz="1000"/>
                      <a:t>AB</a:t>
                    </a:r>
                    <a:endParaRPr lang="en-US"/>
                  </a:p>
                </c:rich>
              </c:tx>
              <c:dLblPos val="outEnd"/>
              <c:showLegendKey val="0"/>
              <c:showVal val="1"/>
              <c:showCatName val="0"/>
              <c:showSerName val="0"/>
              <c:showPercent val="0"/>
              <c:showBubbleSize val="0"/>
            </c:dLbl>
            <c:dLbl>
              <c:idx val="2"/>
              <c:layout>
                <c:manualLayout>
                  <c:x val="0"/>
                  <c:y val="-3.9215686274509803E-2"/>
                </c:manualLayout>
              </c:layout>
              <c:tx>
                <c:rich>
                  <a:bodyPr/>
                  <a:lstStyle/>
                  <a:p>
                    <a:r>
                      <a:rPr lang="tr-TR" sz="1000"/>
                      <a:t>B</a:t>
                    </a:r>
                    <a:endParaRPr lang="en-US"/>
                  </a:p>
                </c:rich>
              </c:tx>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errBars>
            <c:errBarType val="both"/>
            <c:errValType val="cust"/>
            <c:noEndCap val="0"/>
            <c:plus>
              <c:numRef>
                <c:f>Sheet1!$C$3:$C$5</c:f>
                <c:numCache>
                  <c:formatCode>General</c:formatCode>
                  <c:ptCount val="3"/>
                  <c:pt idx="0">
                    <c:v>3.75</c:v>
                  </c:pt>
                  <c:pt idx="1">
                    <c:v>4</c:v>
                  </c:pt>
                  <c:pt idx="2">
                    <c:v>4.12</c:v>
                  </c:pt>
                </c:numCache>
              </c:numRef>
            </c:plus>
            <c:minus>
              <c:numRef>
                <c:f>Sheet1!$C$3:$C$5</c:f>
                <c:numCache>
                  <c:formatCode>General</c:formatCode>
                  <c:ptCount val="3"/>
                  <c:pt idx="0">
                    <c:v>3.75</c:v>
                  </c:pt>
                  <c:pt idx="1">
                    <c:v>4</c:v>
                  </c:pt>
                  <c:pt idx="2">
                    <c:v>4.12</c:v>
                  </c:pt>
                </c:numCache>
              </c:numRef>
            </c:minus>
            <c:spPr>
              <a:ln w="19050"/>
            </c:spPr>
          </c:errBars>
          <c:val>
            <c:numRef>
              <c:f>Sheet1!$B$3:$B$5</c:f>
              <c:numCache>
                <c:formatCode>General</c:formatCode>
                <c:ptCount val="3"/>
                <c:pt idx="0">
                  <c:v>38.68</c:v>
                </c:pt>
                <c:pt idx="1">
                  <c:v>32.06</c:v>
                </c:pt>
                <c:pt idx="2">
                  <c:v>20.91</c:v>
                </c:pt>
              </c:numCache>
            </c:numRef>
          </c:val>
        </c:ser>
        <c:dLbls>
          <c:dLblPos val="outEnd"/>
          <c:showLegendKey val="0"/>
          <c:showVal val="1"/>
          <c:showCatName val="0"/>
          <c:showSerName val="0"/>
          <c:showPercent val="0"/>
          <c:showBubbleSize val="0"/>
        </c:dLbls>
        <c:gapWidth val="150"/>
        <c:axId val="141384704"/>
        <c:axId val="149291008"/>
      </c:barChart>
      <c:catAx>
        <c:axId val="141384704"/>
        <c:scaling>
          <c:orientation val="minMax"/>
        </c:scaling>
        <c:delete val="0"/>
        <c:axPos val="b"/>
        <c:title>
          <c:tx>
            <c:rich>
              <a:bodyPr/>
              <a:lstStyle/>
              <a:p>
                <a:pPr>
                  <a:defRPr sz="1200" b="0"/>
                </a:pPr>
                <a:r>
                  <a:rPr lang="tr-TR" sz="1200" b="0"/>
                  <a:t>Group #</a:t>
                </a:r>
                <a:endParaRPr lang="en-US" sz="1200" b="0"/>
              </a:p>
            </c:rich>
          </c:tx>
          <c:overlay val="0"/>
        </c:title>
        <c:majorTickMark val="none"/>
        <c:minorTickMark val="none"/>
        <c:tickLblPos val="nextTo"/>
        <c:txPr>
          <a:bodyPr/>
          <a:lstStyle/>
          <a:p>
            <a:pPr>
              <a:defRPr sz="1000"/>
            </a:pPr>
            <a:endParaRPr lang="en-US"/>
          </a:p>
        </c:txPr>
        <c:crossAx val="149291008"/>
        <c:crosses val="autoZero"/>
        <c:auto val="1"/>
        <c:lblAlgn val="ctr"/>
        <c:lblOffset val="100"/>
        <c:noMultiLvlLbl val="0"/>
      </c:catAx>
      <c:valAx>
        <c:axId val="149291008"/>
        <c:scaling>
          <c:orientation val="minMax"/>
          <c:max val="50"/>
          <c:min val="0"/>
        </c:scaling>
        <c:delete val="0"/>
        <c:axPos val="l"/>
        <c:title>
          <c:tx>
            <c:rich>
              <a:bodyPr rot="-5400000" vert="horz"/>
              <a:lstStyle/>
              <a:p>
                <a:pPr>
                  <a:defRPr sz="1200" b="0"/>
                </a:pPr>
                <a:r>
                  <a:rPr lang="tr-TR" sz="1200"/>
                  <a:t>Percent Chewed</a:t>
                </a:r>
                <a:endParaRPr lang="en-US" sz="1200"/>
              </a:p>
            </c:rich>
          </c:tx>
          <c:layout>
            <c:manualLayout>
              <c:xMode val="edge"/>
              <c:yMode val="edge"/>
              <c:x val="2.2310527405714944E-2"/>
              <c:y val="0.25512992125984252"/>
            </c:manualLayout>
          </c:layout>
          <c:overlay val="0"/>
        </c:title>
        <c:numFmt formatCode="General" sourceLinked="1"/>
        <c:majorTickMark val="none"/>
        <c:minorTickMark val="none"/>
        <c:tickLblPos val="nextTo"/>
        <c:txPr>
          <a:bodyPr/>
          <a:lstStyle/>
          <a:p>
            <a:pPr>
              <a:defRPr sz="1000"/>
            </a:pPr>
            <a:endParaRPr lang="en-US"/>
          </a:p>
        </c:txPr>
        <c:crossAx val="141384704"/>
        <c:crosses val="autoZero"/>
        <c:crossBetween val="between"/>
        <c:majorUnit val="10"/>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0.00128</cdr:x>
      <cdr:y>0.90523</cdr:y>
    </cdr:from>
    <cdr:to>
      <cdr:x>0.13253</cdr:x>
      <cdr:y>0.99377</cdr:y>
    </cdr:to>
    <cdr:sp macro="" textlink="">
      <cdr:nvSpPr>
        <cdr:cNvPr id="2" name="TextBox 1"/>
        <cdr:cNvSpPr txBox="1"/>
      </cdr:nvSpPr>
      <cdr:spPr>
        <a:xfrm xmlns:a="http://schemas.openxmlformats.org/drawingml/2006/main">
          <a:off x="5265" y="2638425"/>
          <a:ext cx="538817" cy="2580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i="1"/>
            <a:t>p</a:t>
          </a:r>
          <a:r>
            <a:rPr lang="en-US" sz="900" b="1"/>
            <a:t> = 0.0</a:t>
          </a:r>
          <a:r>
            <a:rPr lang="tr-TR" sz="900" b="1"/>
            <a:t>186</a:t>
          </a:r>
          <a:endParaRPr lang="en-US" sz="900" b="1"/>
        </a:p>
      </cdr:txBody>
    </cdr:sp>
  </cdr:relSizeAnchor>
</c:userShapes>
</file>

<file path=word/drawings/drawing2.xml><?xml version="1.0" encoding="utf-8"?>
<c:userShapes xmlns:c="http://schemas.openxmlformats.org/drawingml/2006/chart">
  <cdr:relSizeAnchor xmlns:cdr="http://schemas.openxmlformats.org/drawingml/2006/chartDrawing">
    <cdr:from>
      <cdr:x>0.00128</cdr:x>
      <cdr:y>0.90523</cdr:y>
    </cdr:from>
    <cdr:to>
      <cdr:x>0.13253</cdr:x>
      <cdr:y>0.99377</cdr:y>
    </cdr:to>
    <cdr:sp macro="" textlink="">
      <cdr:nvSpPr>
        <cdr:cNvPr id="2" name="TextBox 1"/>
        <cdr:cNvSpPr txBox="1"/>
      </cdr:nvSpPr>
      <cdr:spPr>
        <a:xfrm xmlns:a="http://schemas.openxmlformats.org/drawingml/2006/main">
          <a:off x="5265" y="2638425"/>
          <a:ext cx="538817" cy="2580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i="1"/>
            <a:t>p</a:t>
          </a:r>
          <a:r>
            <a:rPr lang="en-US" sz="900" b="1"/>
            <a:t> = 0.00</a:t>
          </a:r>
          <a:r>
            <a:rPr lang="tr-TR" sz="900" b="1"/>
            <a:t>7</a:t>
          </a:r>
          <a:r>
            <a:rPr lang="en-US" sz="900" b="1"/>
            <a:t>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Mali</cp:lastModifiedBy>
  <cp:revision>2</cp:revision>
  <dcterms:created xsi:type="dcterms:W3CDTF">2016-01-17T20:33:00Z</dcterms:created>
  <dcterms:modified xsi:type="dcterms:W3CDTF">2016-01-17T23:54:00Z</dcterms:modified>
</cp:coreProperties>
</file>