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3" w:rsidRPr="00E1310E" w:rsidRDefault="00D02BF3" w:rsidP="00D02BF3">
      <w:pPr>
        <w:spacing w:after="0"/>
        <w:rPr>
          <w:b/>
        </w:rPr>
      </w:pPr>
      <w:r w:rsidRPr="00E1310E">
        <w:rPr>
          <w:b/>
        </w:rPr>
        <w:t>References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r w:rsidRPr="00F10909">
        <w:t xml:space="preserve">Drinkwater, L. E., Letourneau, D. K., </w:t>
      </w:r>
      <w:proofErr w:type="spellStart"/>
      <w:r w:rsidRPr="00F10909">
        <w:t>Workneh</w:t>
      </w:r>
      <w:proofErr w:type="spellEnd"/>
      <w:r w:rsidRPr="00F10909">
        <w:t xml:space="preserve">, F., van </w:t>
      </w:r>
      <w:proofErr w:type="spellStart"/>
      <w:r w:rsidRPr="00F10909">
        <w:t>Bruggen</w:t>
      </w:r>
      <w:proofErr w:type="spellEnd"/>
      <w:r w:rsidRPr="00F10909">
        <w:t xml:space="preserve">, A. H. C., and </w:t>
      </w:r>
      <w:proofErr w:type="spellStart"/>
      <w:r w:rsidRPr="00F10909">
        <w:t>Shennan</w:t>
      </w:r>
      <w:proofErr w:type="spellEnd"/>
      <w:r w:rsidRPr="00F10909">
        <w:t xml:space="preserve">, C. 1995. </w:t>
      </w:r>
      <w:proofErr w:type="gramStart"/>
      <w:r w:rsidRPr="00F10909">
        <w:t>Fundamental differences between conventional and organic tomato agroecosystems in California.</w:t>
      </w:r>
      <w:proofErr w:type="gramEnd"/>
      <w:r w:rsidRPr="00F10909">
        <w:t xml:space="preserve"> Ecological Applications 5:1098-1112.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gramStart"/>
      <w:r>
        <w:t xml:space="preserve">Gorman, N. R. and </w:t>
      </w:r>
      <w:proofErr w:type="spellStart"/>
      <w:r>
        <w:t>Starrett</w:t>
      </w:r>
      <w:proofErr w:type="spellEnd"/>
      <w:r>
        <w:t>, M. C. 2003.</w:t>
      </w:r>
      <w:proofErr w:type="gramEnd"/>
      <w:r>
        <w:t xml:space="preserve"> </w:t>
      </w:r>
      <w:proofErr w:type="gramStart"/>
      <w:r>
        <w:t>Screening commercial peat and peat-based products for the presence of ericoid mycorrhizae.</w:t>
      </w:r>
      <w:proofErr w:type="gramEnd"/>
      <w:r>
        <w:t xml:space="preserve"> Journal of Environmental Horticulture 21:30-33.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spellStart"/>
      <w:proofErr w:type="gramStart"/>
      <w:r>
        <w:t>Gortari</w:t>
      </w:r>
      <w:proofErr w:type="spellEnd"/>
      <w:r>
        <w:t>, M. C. and Hours, R. A. 2008.</w:t>
      </w:r>
      <w:proofErr w:type="gramEnd"/>
      <w:r>
        <w:t xml:space="preserve"> </w:t>
      </w:r>
      <w:proofErr w:type="gramStart"/>
      <w:r>
        <w:t xml:space="preserve">Fungal </w:t>
      </w:r>
      <w:proofErr w:type="spellStart"/>
      <w:r>
        <w:t>chitinases</w:t>
      </w:r>
      <w:proofErr w:type="spellEnd"/>
      <w:r>
        <w:t xml:space="preserve"> and their biological role in the antagonism onto nematode eggs.</w:t>
      </w:r>
      <w:proofErr w:type="gramEnd"/>
      <w:r>
        <w:t xml:space="preserve"> </w:t>
      </w:r>
      <w:proofErr w:type="gramStart"/>
      <w:r>
        <w:t>A review.</w:t>
      </w:r>
      <w:proofErr w:type="gramEnd"/>
      <w:r>
        <w:t xml:space="preserve"> Mycological Progress 7:221-238. 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gramStart"/>
      <w:r w:rsidRPr="00F06D03">
        <w:t xml:space="preserve">Hanson, E. J., Throop, P. A., </w:t>
      </w:r>
      <w:proofErr w:type="spellStart"/>
      <w:r w:rsidRPr="00F06D03">
        <w:t>Serce</w:t>
      </w:r>
      <w:proofErr w:type="spellEnd"/>
      <w:r w:rsidRPr="00F06D03">
        <w:t xml:space="preserve">, S., </w:t>
      </w:r>
      <w:proofErr w:type="spellStart"/>
      <w:r w:rsidRPr="00F06D03">
        <w:t>Ravenscroft</w:t>
      </w:r>
      <w:proofErr w:type="spellEnd"/>
      <w:r w:rsidRPr="00F06D03">
        <w:t>, J., and Paul, E. A. 2002.</w:t>
      </w:r>
      <w:proofErr w:type="gramEnd"/>
      <w:r w:rsidRPr="00F06D03">
        <w:t xml:space="preserve"> Comparison of nitrification rates in blueberry and forest soils. Journal of the American Society for Horticultural Science 127:136-142.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r>
        <w:t xml:space="preserve">Leake, J. R. and Read, D. J. 1990. </w:t>
      </w:r>
      <w:proofErr w:type="gramStart"/>
      <w:r>
        <w:t>Chitin as a nitrogen source for mycorrhizal fungi.</w:t>
      </w:r>
      <w:proofErr w:type="gramEnd"/>
      <w:r>
        <w:t xml:space="preserve"> Mycological Research 94:993-1008. 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gramStart"/>
      <w:r>
        <w:t xml:space="preserve">Litten, W., Smagula, J. M., and </w:t>
      </w:r>
      <w:proofErr w:type="spellStart"/>
      <w:r>
        <w:t>Dalpe</w:t>
      </w:r>
      <w:proofErr w:type="spellEnd"/>
      <w:r>
        <w:t>, Y. 1992.</w:t>
      </w:r>
      <w:proofErr w:type="gramEnd"/>
      <w:r>
        <w:t xml:space="preserve"> Growth of </w:t>
      </w:r>
      <w:proofErr w:type="spellStart"/>
      <w:r>
        <w:t>micropropagated</w:t>
      </w:r>
      <w:proofErr w:type="spellEnd"/>
      <w:r>
        <w:t xml:space="preserve"> lowbush blueberry with defined fungi in irradiated peat mix. Canadian Journal of Botany 70:2202-2206. 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gramStart"/>
      <w:r>
        <w:t xml:space="preserve">Liu, B., </w:t>
      </w:r>
      <w:proofErr w:type="spellStart"/>
      <w:r>
        <w:t>Tu</w:t>
      </w:r>
      <w:proofErr w:type="spellEnd"/>
      <w:r>
        <w:t xml:space="preserve">, C., </w:t>
      </w:r>
      <w:proofErr w:type="spellStart"/>
      <w:r>
        <w:t>Hu</w:t>
      </w:r>
      <w:proofErr w:type="spellEnd"/>
      <w:r>
        <w:t xml:space="preserve">, S., </w:t>
      </w:r>
      <w:proofErr w:type="spellStart"/>
      <w:r>
        <w:t>Gumpertz</w:t>
      </w:r>
      <w:proofErr w:type="spellEnd"/>
      <w:r>
        <w:t xml:space="preserve">, M., and </w:t>
      </w:r>
      <w:proofErr w:type="spellStart"/>
      <w:r>
        <w:t>Ristaino</w:t>
      </w:r>
      <w:proofErr w:type="spellEnd"/>
      <w:r>
        <w:t>, J. B. 2007.</w:t>
      </w:r>
      <w:proofErr w:type="gramEnd"/>
      <w:r>
        <w:t xml:space="preserve"> </w:t>
      </w:r>
      <w:proofErr w:type="gramStart"/>
      <w:r>
        <w:t>Effect of organic, sustainable, and conventional management strategies in grower fields on soil physical, chemical, and biological factors and the incidence of Southern blight.</w:t>
      </w:r>
      <w:proofErr w:type="gramEnd"/>
      <w:r>
        <w:t xml:space="preserve"> </w:t>
      </w:r>
      <w:proofErr w:type="gramStart"/>
      <w:r>
        <w:t>Applied Soil Ecology 37:202-214.</w:t>
      </w:r>
      <w:proofErr w:type="gramEnd"/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spellStart"/>
      <w:proofErr w:type="gramStart"/>
      <w:r>
        <w:t>Muthalif</w:t>
      </w:r>
      <w:proofErr w:type="spellEnd"/>
      <w:r>
        <w:t>, M. M. and Rowland, L. J. 1994.</w:t>
      </w:r>
      <w:proofErr w:type="gramEnd"/>
      <w:r>
        <w:t xml:space="preserve"> </w:t>
      </w:r>
      <w:proofErr w:type="gramStart"/>
      <w:r>
        <w:t xml:space="preserve">Identification of </w:t>
      </w:r>
      <w:proofErr w:type="spellStart"/>
      <w:r>
        <w:t>dehydrin</w:t>
      </w:r>
      <w:proofErr w:type="spellEnd"/>
      <w:r>
        <w:t>-like proteins responsive to chilling in floral buds of blueberry (</w:t>
      </w:r>
      <w:r w:rsidRPr="00C62B61">
        <w:rPr>
          <w:i/>
        </w:rPr>
        <w:t>Vaccinium</w:t>
      </w:r>
      <w:r>
        <w:t xml:space="preserve">, section </w:t>
      </w:r>
      <w:proofErr w:type="spellStart"/>
      <w:r w:rsidRPr="00C62B61">
        <w:rPr>
          <w:i/>
        </w:rPr>
        <w:t>Cyanococcus</w:t>
      </w:r>
      <w:proofErr w:type="spellEnd"/>
      <w:r>
        <w:t>).</w:t>
      </w:r>
      <w:proofErr w:type="gramEnd"/>
      <w:r>
        <w:t xml:space="preserve"> Plant Physiology 104:1439-1447.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r w:rsidRPr="007B39B6">
        <w:t xml:space="preserve">Read, D. J. 1983. </w:t>
      </w:r>
      <w:proofErr w:type="gramStart"/>
      <w:r w:rsidRPr="007B39B6">
        <w:t xml:space="preserve">The biology of mycorrhiza in the </w:t>
      </w:r>
      <w:proofErr w:type="spellStart"/>
      <w:r w:rsidRPr="007B39B6">
        <w:t>Ericales</w:t>
      </w:r>
      <w:proofErr w:type="spellEnd"/>
      <w:r w:rsidRPr="007B39B6">
        <w:t>.</w:t>
      </w:r>
      <w:proofErr w:type="gramEnd"/>
      <w:r w:rsidRPr="007B39B6">
        <w:t xml:space="preserve"> Canadian Journal of Botany 61:985-1004.</w:t>
      </w:r>
    </w:p>
    <w:p w:rsidR="00D02BF3" w:rsidRPr="00E1310E" w:rsidRDefault="00D02BF3" w:rsidP="00D02BF3">
      <w:pPr>
        <w:spacing w:after="0"/>
      </w:pPr>
    </w:p>
    <w:p w:rsidR="00D02BF3" w:rsidRDefault="00D02BF3" w:rsidP="00D02BF3">
      <w:pPr>
        <w:spacing w:after="0"/>
      </w:pPr>
      <w:r>
        <w:t xml:space="preserve">Robertson, G. P., Bledsoe, C. S., Coleman, D. C., and </w:t>
      </w:r>
      <w:proofErr w:type="spellStart"/>
      <w:r>
        <w:t>Sollins</w:t>
      </w:r>
      <w:proofErr w:type="spellEnd"/>
      <w:r>
        <w:t xml:space="preserve">, P. 1999. </w:t>
      </w:r>
      <w:proofErr w:type="gramStart"/>
      <w:r>
        <w:t>Standard Soil Methods for Long-term Ecological Research.</w:t>
      </w:r>
      <w:proofErr w:type="gramEnd"/>
      <w:r>
        <w:t xml:space="preserve"> Oxford University Press, New York.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r w:rsidRPr="00B71C9B">
        <w:t xml:space="preserve">Smith, S. E., and Read, D. J. 2008. </w:t>
      </w:r>
      <w:proofErr w:type="gramStart"/>
      <w:r w:rsidRPr="00B71C9B">
        <w:t>Mycorrhizal Symbiosi</w:t>
      </w:r>
      <w:r w:rsidRPr="0006450F">
        <w:t>s</w:t>
      </w:r>
      <w:r w:rsidRPr="00B71C9B">
        <w:t>.</w:t>
      </w:r>
      <w:proofErr w:type="gramEnd"/>
      <w:r w:rsidRPr="00B71C9B">
        <w:t xml:space="preserve"> Academic Press, New York.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r w:rsidRPr="009A7DB5">
        <w:t>Stribley, D. P</w:t>
      </w:r>
      <w:r>
        <w:t>.</w:t>
      </w:r>
      <w:r w:rsidRPr="009A7DB5">
        <w:t xml:space="preserve"> and Read, D. J. 1974. </w:t>
      </w:r>
      <w:proofErr w:type="gramStart"/>
      <w:r w:rsidRPr="009A7DB5">
        <w:t>The biology of mycorrhiza in the Ericaceae.</w:t>
      </w:r>
      <w:proofErr w:type="gramEnd"/>
      <w:r w:rsidRPr="009A7DB5">
        <w:t xml:space="preserve"> IV. The effect of mycorrhizal infection on uptake of 15 N from labeled soil by </w:t>
      </w:r>
      <w:r w:rsidRPr="00C62B61">
        <w:rPr>
          <w:i/>
        </w:rPr>
        <w:t>Vaccinium macrocarpon</w:t>
      </w:r>
      <w:r w:rsidRPr="009A7DB5">
        <w:t xml:space="preserve"> Ait. New Phytologist 73:1149-1155.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r w:rsidRPr="00167CCE">
        <w:t xml:space="preserve">Wander, M. M., </w:t>
      </w:r>
      <w:proofErr w:type="spellStart"/>
      <w:r w:rsidRPr="00167CCE">
        <w:t>Traina</w:t>
      </w:r>
      <w:proofErr w:type="spellEnd"/>
      <w:r w:rsidRPr="00167CCE">
        <w:t xml:space="preserve">, S. J., </w:t>
      </w:r>
      <w:proofErr w:type="spellStart"/>
      <w:r w:rsidRPr="00167CCE">
        <w:t>Stinner</w:t>
      </w:r>
      <w:proofErr w:type="spellEnd"/>
      <w:r w:rsidRPr="00167CCE">
        <w:t>, B. R., and Peters, S. E. 1994. Organic and conventional management effects on biologically active soil organic matter pools. Soil Science Society of America Journal 58:1130-1139.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gramStart"/>
      <w:r w:rsidRPr="007B39B6">
        <w:lastRenderedPageBreak/>
        <w:t>Yang, W. Q. 1999.</w:t>
      </w:r>
      <w:proofErr w:type="gramEnd"/>
      <w:r w:rsidRPr="007B39B6">
        <w:t xml:space="preserve"> </w:t>
      </w:r>
      <w:proofErr w:type="gramStart"/>
      <w:r w:rsidRPr="007B39B6">
        <w:t>Assessing Nitrogen Acquisition of Ericoid Mycorrhizae in Highbush Blueberry (</w:t>
      </w:r>
      <w:r w:rsidRPr="00C62B61">
        <w:rPr>
          <w:i/>
        </w:rPr>
        <w:t>Vaccinium corymbosum</w:t>
      </w:r>
      <w:r w:rsidRPr="007B39B6">
        <w:t xml:space="preserve"> L.).</w:t>
      </w:r>
      <w:proofErr w:type="gramEnd"/>
      <w:r w:rsidRPr="007B39B6">
        <w:t xml:space="preserve"> </w:t>
      </w:r>
      <w:proofErr w:type="gramStart"/>
      <w:r w:rsidRPr="007B39B6">
        <w:t>Ph D dissertation, The Pennsylvania State University.</w:t>
      </w:r>
      <w:proofErr w:type="gramEnd"/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gramStart"/>
      <w:r w:rsidRPr="00854A3C">
        <w:t>Yang, W. Q., Goulart, B. L., and Demchak, K. 1996.</w:t>
      </w:r>
      <w:proofErr w:type="gramEnd"/>
      <w:r w:rsidRPr="00854A3C">
        <w:t xml:space="preserve"> </w:t>
      </w:r>
      <w:proofErr w:type="gramStart"/>
      <w:r w:rsidRPr="00854A3C">
        <w:t xml:space="preserve">The effect of aluminum and media on the growth of mycorrhizal and </w:t>
      </w:r>
      <w:proofErr w:type="spellStart"/>
      <w:r w:rsidRPr="00854A3C">
        <w:t>nonmycorrhizal</w:t>
      </w:r>
      <w:proofErr w:type="spellEnd"/>
      <w:r w:rsidRPr="00854A3C">
        <w:t xml:space="preserve"> highbush blueberry plantlets.</w:t>
      </w:r>
      <w:proofErr w:type="gramEnd"/>
      <w:r w:rsidRPr="00854A3C">
        <w:t xml:space="preserve"> Plant and Soil 183:301-308.</w:t>
      </w:r>
    </w:p>
    <w:p w:rsidR="00D02BF3" w:rsidRDefault="00D02BF3" w:rsidP="00D02BF3">
      <w:pPr>
        <w:spacing w:after="0"/>
      </w:pPr>
    </w:p>
    <w:p w:rsidR="00D02BF3" w:rsidRDefault="00D02BF3" w:rsidP="00D02BF3">
      <w:pPr>
        <w:spacing w:after="0"/>
      </w:pPr>
      <w:proofErr w:type="gramStart"/>
      <w:r w:rsidRPr="00E1310E">
        <w:t>Yang, W. Q., Goulart, B. L., Demchak, K., and Li, Y. 2002.</w:t>
      </w:r>
      <w:proofErr w:type="gramEnd"/>
      <w:r w:rsidRPr="00E1310E">
        <w:t xml:space="preserve"> Interactive effects of mycorrhizal inoculation and organic soil amendments on nitrogen acquisition and growth of highbush blueberry. Journal of American Society for Horticultural Science 127:742-748.</w:t>
      </w:r>
      <w:r>
        <w:br w:type="page"/>
      </w:r>
    </w:p>
    <w:p w:rsidR="00D02BF3" w:rsidRDefault="00D02BF3" w:rsidP="00D02BF3">
      <w:pPr>
        <w:rPr>
          <w:b/>
        </w:rPr>
        <w:sectPr w:rsidR="00D02BF3" w:rsidSect="004118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78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013"/>
        <w:gridCol w:w="877"/>
        <w:gridCol w:w="990"/>
        <w:gridCol w:w="1080"/>
        <w:gridCol w:w="900"/>
        <w:gridCol w:w="5940"/>
      </w:tblGrid>
      <w:tr w:rsidR="00D02BF3" w:rsidRPr="00411886" w:rsidTr="00D5535C">
        <w:trPr>
          <w:trHeight w:val="316"/>
        </w:trPr>
        <w:tc>
          <w:tcPr>
            <w:tcW w:w="216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lastRenderedPageBreak/>
              <w:t>NRCS soil series</w:t>
            </w:r>
          </w:p>
        </w:tc>
        <w:tc>
          <w:tcPr>
            <w:tcW w:w="1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Cultivar</w:t>
            </w:r>
          </w:p>
        </w:tc>
        <w:tc>
          <w:tcPr>
            <w:tcW w:w="87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Latitude</w:t>
            </w:r>
          </w:p>
        </w:tc>
        <w:tc>
          <w:tcPr>
            <w:tcW w:w="99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Longitude</w:t>
            </w:r>
          </w:p>
        </w:tc>
        <w:tc>
          <w:tcPr>
            <w:tcW w:w="108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County</w:t>
            </w:r>
          </w:p>
        </w:tc>
        <w:tc>
          <w:tcPr>
            <w:tcW w:w="90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</w:t>
            </w:r>
            <w:r w:rsidRPr="00411886">
              <w:rPr>
                <w:sz w:val="20"/>
                <w:szCs w:val="20"/>
              </w:rPr>
              <w:t>rg or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411886">
              <w:rPr>
                <w:sz w:val="20"/>
                <w:szCs w:val="20"/>
              </w:rPr>
              <w:t>onv</w:t>
            </w:r>
            <w:proofErr w:type="spellEnd"/>
            <w:r w:rsidRPr="00411886">
              <w:rPr>
                <w:sz w:val="20"/>
                <w:szCs w:val="20"/>
              </w:rPr>
              <w:t xml:space="preserve"> mgt</w:t>
            </w:r>
          </w:p>
        </w:tc>
        <w:tc>
          <w:tcPr>
            <w:tcW w:w="594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jc w:val="center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Observations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Morocco-Newton complex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Jersey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42.4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-86.0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Allegan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30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Herbicide strip. Roots concentrated near surface. Some soil mottling at shallow depth.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Morocco complex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Bluecrop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41.7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-86.1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St. Joseph, IN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pStyle w:val="NoSpacing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 xml:space="preserve">Sod maintained at 1-10 cm height. 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Granby loamy sand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Bluecrop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42.2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-86.3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Ottawa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Herbicide strip. Dense mat of roots at 0−5 cm soil depth.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Granby loamy sand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Duke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42.9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-86.1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Ottawa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Soil cultivated at 0−20 cm depth 1-2 times per year. Few roots in upper 20 cm of soil.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 xml:space="preserve">Pipestone-Kingsville complex 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Elliott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42.4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-86.3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Van Buren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Herbicide strip and wood mulch. Roots concentrated at surface. Accumulation of 2-4 cm surface leaf litter.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Pipestone sand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Elliott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42.2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-86.3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Berrien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Wood mulch. Roots concentrated at surface. Rodent tunnels in mulch and soil.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Granby loamy sand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Elliott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43.0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-86.3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Ottawa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 xml:space="preserve">Herbicide strip, planting rows alternate between mulch and no mulch. 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Granby loamy fine sand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Elliott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42.2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-86.2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Berrien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Wood mulch and white clover. Anoxic soil at 5−30 cm depth on some sampling dates.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Granby loamy sand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Bluecrop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42.8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-86.1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Ottawa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Herbicide strip. Roots concentrated at surface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Granby loamy sand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Bluecrop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43.0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-86.2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Ottawa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Cultivated soil. Few roots in upper 20 cm of soil.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Gilford sandy loam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Elliott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42.3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-86.0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Van Buren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 xml:space="preserve">Herbicide strip and wood mulch. 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Gilford sandy loam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Bluecrop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41.7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-86.1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St. Joseph, IN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Sod maintained at 1−6 cm height within rows. Blueberry roots mainly at &gt; 5 cm soil depth, below dense sod roots.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Houghton muck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Rubel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42.6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-86.1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Allegan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 xml:space="preserve">Herbicide strip. Anoxic soil at 5−30 cm depth. 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Houghton muck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Rubel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42.6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-86.1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Allegan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Sod mowed once per year.  Few roots in upper 20 cm of soil. Anoxic soil at 5−30 cm depth.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Houghton muck</w:t>
            </w:r>
          </w:p>
        </w:tc>
        <w:tc>
          <w:tcPr>
            <w:tcW w:w="1013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Rubel/ Jersey</w:t>
            </w:r>
          </w:p>
        </w:tc>
        <w:tc>
          <w:tcPr>
            <w:tcW w:w="877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42.4</w:t>
            </w:r>
          </w:p>
        </w:tc>
        <w:tc>
          <w:tcPr>
            <w:tcW w:w="99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-86.0</w:t>
            </w:r>
          </w:p>
        </w:tc>
        <w:tc>
          <w:tcPr>
            <w:tcW w:w="108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Van Buren</w:t>
            </w:r>
          </w:p>
        </w:tc>
        <w:tc>
          <w:tcPr>
            <w:tcW w:w="90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top w:val="single" w:sz="2" w:space="0" w:color="000000" w:themeColor="text1"/>
            </w:tcBorders>
            <w:shd w:val="clear" w:color="auto" w:fill="DDDDDD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Bare soil. Up to 3 cm accumulation of leaves and stems. Anoxic soil at 5−30 cm depth on some sampling dates.</w:t>
            </w:r>
          </w:p>
        </w:tc>
      </w:tr>
      <w:tr w:rsidR="00D02BF3" w:rsidRPr="00411886" w:rsidTr="00D5535C">
        <w:trPr>
          <w:trHeight w:val="20"/>
        </w:trPr>
        <w:tc>
          <w:tcPr>
            <w:tcW w:w="21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Houghton muck</w:t>
            </w:r>
          </w:p>
        </w:tc>
        <w:tc>
          <w:tcPr>
            <w:tcW w:w="10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Jersey</w:t>
            </w:r>
          </w:p>
        </w:tc>
        <w:tc>
          <w:tcPr>
            <w:tcW w:w="87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43.0</w:t>
            </w:r>
          </w:p>
        </w:tc>
        <w:tc>
          <w:tcPr>
            <w:tcW w:w="99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-83.0</w:t>
            </w:r>
          </w:p>
        </w:tc>
        <w:tc>
          <w:tcPr>
            <w:tcW w:w="108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St. Clair</w:t>
            </w:r>
          </w:p>
        </w:tc>
        <w:tc>
          <w:tcPr>
            <w:tcW w:w="90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/>
              <w:rPr>
                <w:sz w:val="20"/>
                <w:szCs w:val="20"/>
              </w:rPr>
            </w:pPr>
            <w:r w:rsidRPr="00411886">
              <w:rPr>
                <w:sz w:val="20"/>
                <w:szCs w:val="20"/>
              </w:rPr>
              <w:t>Grass clippings beneath bushes. Patchy sod and bare soil within rows.</w:t>
            </w:r>
          </w:p>
        </w:tc>
      </w:tr>
    </w:tbl>
    <w:p w:rsidR="00D02BF3" w:rsidRPr="00411886" w:rsidRDefault="00D02BF3" w:rsidP="00D02BF3">
      <w:pPr>
        <w:pStyle w:val="NoSpacing"/>
      </w:pPr>
      <w:proofErr w:type="gramStart"/>
      <w:r w:rsidRPr="00411886">
        <w:rPr>
          <w:b/>
        </w:rPr>
        <w:t xml:space="preserve">Table </w:t>
      </w:r>
      <w:r>
        <w:rPr>
          <w:b/>
        </w:rPr>
        <w:t>1.</w:t>
      </w:r>
      <w:proofErr w:type="gramEnd"/>
      <w:r>
        <w:rPr>
          <w:b/>
        </w:rPr>
        <w:t xml:space="preserve"> </w:t>
      </w:r>
      <w:proofErr w:type="gramStart"/>
      <w:r w:rsidRPr="00411886">
        <w:t>Site descriptions of matched pairs of organic and conventional blueberry farms.</w:t>
      </w:r>
      <w:proofErr w:type="gramEnd"/>
      <w:r w:rsidRPr="00411886">
        <w:t xml:space="preserve"> Gray shading designates conventional farms.</w:t>
      </w:r>
    </w:p>
    <w:p w:rsidR="00D02BF3" w:rsidRDefault="00D02BF3" w:rsidP="00D02BF3">
      <w:pPr>
        <w:spacing w:line="276" w:lineRule="auto"/>
        <w:rPr>
          <w:noProof/>
        </w:rPr>
      </w:pPr>
      <w:r>
        <w:rPr>
          <w:noProof/>
        </w:rPr>
        <w:br w:type="page"/>
      </w:r>
    </w:p>
    <w:p w:rsidR="00D02BF3" w:rsidRDefault="00D02BF3" w:rsidP="00D02BF3">
      <w:pPr>
        <w:spacing w:line="276" w:lineRule="auto"/>
        <w:rPr>
          <w:noProof/>
        </w:rPr>
        <w:sectPr w:rsidR="00D02BF3" w:rsidSect="004118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02BF3" w:rsidRPr="00411886" w:rsidRDefault="00D02BF3" w:rsidP="00D02BF3">
      <w:pPr>
        <w:spacing w:after="0" w:line="276" w:lineRule="auto"/>
        <w:rPr>
          <w:noProof/>
        </w:rPr>
      </w:pPr>
      <w:r w:rsidRPr="00411886">
        <w:rPr>
          <w:b/>
          <w:noProof/>
        </w:rPr>
        <w:lastRenderedPageBreak/>
        <w:t xml:space="preserve">Table </w:t>
      </w:r>
      <w:r>
        <w:rPr>
          <w:b/>
          <w:noProof/>
        </w:rPr>
        <w:t xml:space="preserve">2. </w:t>
      </w:r>
      <w:r>
        <w:rPr>
          <w:noProof/>
        </w:rPr>
        <w:t>V</w:t>
      </w:r>
      <w:r w:rsidRPr="00411886">
        <w:rPr>
          <w:noProof/>
        </w:rPr>
        <w:t>ariables measured in a comparison of organic and conventional Michiga</w:t>
      </w:r>
      <w:r>
        <w:rPr>
          <w:noProof/>
        </w:rPr>
        <w:t>n blueberry farms in 2008</w:t>
      </w:r>
      <w:r w:rsidRPr="00411886">
        <w:rPr>
          <w:noProof/>
        </w:rPr>
        <w:t>.</w:t>
      </w:r>
    </w:p>
    <w:tbl>
      <w:tblPr>
        <w:tblW w:w="10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3"/>
        <w:gridCol w:w="3398"/>
        <w:gridCol w:w="20"/>
        <w:gridCol w:w="3789"/>
        <w:gridCol w:w="1550"/>
      </w:tblGrid>
      <w:tr w:rsidR="00D02BF3" w:rsidRPr="00411886" w:rsidTr="00D5535C">
        <w:trPr>
          <w:gridAfter w:val="1"/>
          <w:wAfter w:w="1550" w:type="dxa"/>
          <w:trHeight w:val="2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Variable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Description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Unit</w:t>
            </w: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Anth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Anthracnose fruit rot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Incidence (%)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Alt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Alternaria fruit rot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Incidence (%)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Leaf N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Leaf nitrogen concentration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%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Leaf P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Leaf phosphorus concentration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%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Leaf Ca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Leaf calcium concentration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%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Leaf Mg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Leaf magnesium concentration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ppm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Default="00D02BF3" w:rsidP="00D5535C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>Leaf Fe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Leaf iron concentration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ppm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SOM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Soil organic matter content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%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Ca, K, Mg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Extractable K, Mg, K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mg kg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Bray P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Bray-extractable P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mg kg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gridAfter w:val="1"/>
          <w:wAfter w:w="1550" w:type="dxa"/>
          <w:trHeight w:val="20"/>
        </w:trPr>
        <w:tc>
          <w:tcPr>
            <w:tcW w:w="1253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Nmin</w:t>
            </w:r>
          </w:p>
        </w:tc>
        <w:tc>
          <w:tcPr>
            <w:tcW w:w="3398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14-day</w:t>
            </w:r>
            <w:r w:rsidRPr="00411886">
              <w:rPr>
                <w:bCs/>
                <w:noProof/>
              </w:rPr>
              <w:t xml:space="preserve"> potential N mineralization 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noProof/>
              </w:rPr>
              <w:t>NH</w:t>
            </w:r>
            <w:r w:rsidRPr="00411886">
              <w:rPr>
                <w:noProof/>
                <w:vertAlign w:val="subscript"/>
              </w:rPr>
              <w:t>4</w:t>
            </w:r>
            <w:r w:rsidRPr="00411886">
              <w:rPr>
                <w:noProof/>
                <w:vertAlign w:val="superscript"/>
              </w:rPr>
              <w:t>+</w:t>
            </w:r>
            <w:r w:rsidRPr="00411886">
              <w:rPr>
                <w:noProof/>
              </w:rPr>
              <w:t>-N + NO</w:t>
            </w:r>
            <w:r w:rsidRPr="00411886">
              <w:rPr>
                <w:noProof/>
                <w:vertAlign w:val="subscript"/>
              </w:rPr>
              <w:t>3</w:t>
            </w:r>
            <w:r w:rsidRPr="00411886">
              <w:rPr>
                <w:noProof/>
                <w:vertAlign w:val="superscript"/>
              </w:rPr>
              <w:t>-</w:t>
            </w:r>
            <w:r w:rsidRPr="00411886">
              <w:rPr>
                <w:noProof/>
              </w:rPr>
              <w:t>-N kg soil</w:t>
            </w:r>
            <w:r w:rsidRPr="00411886">
              <w:rPr>
                <w:noProof/>
                <w:vertAlign w:val="superscript"/>
              </w:rPr>
              <w:t>-1</w:t>
            </w:r>
            <w:r w:rsidRPr="00411886">
              <w:rPr>
                <w:noProof/>
              </w:rPr>
              <w:t xml:space="preserve"> d</w:t>
            </w:r>
            <w:r w:rsidRPr="00411886">
              <w:rPr>
                <w:noProof/>
                <w:vertAlign w:val="superscript"/>
              </w:rPr>
              <w:t>-1</w:t>
            </w:r>
          </w:p>
        </w:tc>
      </w:tr>
      <w:tr w:rsidR="00D02BF3" w:rsidRPr="00411886" w:rsidTr="00D5535C">
        <w:trPr>
          <w:gridAfter w:val="1"/>
          <w:wAfter w:w="1550" w:type="dxa"/>
          <w:trHeight w:val="20"/>
        </w:trPr>
        <w:tc>
          <w:tcPr>
            <w:tcW w:w="1253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Nitr</w:t>
            </w:r>
          </w:p>
        </w:tc>
        <w:tc>
          <w:tcPr>
            <w:tcW w:w="3398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14-</w:t>
            </w:r>
            <w:r w:rsidRPr="00411886">
              <w:rPr>
                <w:bCs/>
                <w:noProof/>
              </w:rPr>
              <w:t xml:space="preserve"> day net nitrification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mg NO</w:t>
            </w:r>
            <w:r w:rsidRPr="00411886">
              <w:rPr>
                <w:noProof/>
                <w:vertAlign w:val="subscript"/>
              </w:rPr>
              <w:t>3</w:t>
            </w:r>
            <w:r w:rsidRPr="00411886">
              <w:rPr>
                <w:noProof/>
                <w:vertAlign w:val="superscript"/>
              </w:rPr>
              <w:t>-</w:t>
            </w:r>
            <w:r w:rsidRPr="00411886">
              <w:rPr>
                <w:noProof/>
              </w:rPr>
              <w:t>-N kg soil</w:t>
            </w:r>
            <w:r w:rsidRPr="00411886">
              <w:rPr>
                <w:noProof/>
                <w:vertAlign w:val="superscript"/>
              </w:rPr>
              <w:t>-1</w:t>
            </w:r>
            <w:r w:rsidRPr="00411886">
              <w:rPr>
                <w:noProof/>
              </w:rPr>
              <w:t xml:space="preserve"> d</w:t>
            </w:r>
            <w:r w:rsidRPr="00411886">
              <w:rPr>
                <w:noProof/>
                <w:vertAlign w:val="superscript"/>
              </w:rPr>
              <w:t>-1</w:t>
            </w:r>
          </w:p>
        </w:tc>
      </w:tr>
      <w:tr w:rsidR="00D02BF3" w:rsidRPr="00411886" w:rsidTr="00D5535C">
        <w:trPr>
          <w:gridAfter w:val="1"/>
          <w:wAfter w:w="1550" w:type="dxa"/>
          <w:trHeight w:val="20"/>
        </w:trPr>
        <w:tc>
          <w:tcPr>
            <w:tcW w:w="1253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Rnitr</w:t>
            </w:r>
          </w:p>
        </w:tc>
        <w:tc>
          <w:tcPr>
            <w:tcW w:w="3398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Relative nitrification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Nitr Nmin</w:t>
            </w:r>
            <w:r w:rsidRPr="00411886">
              <w:rPr>
                <w:noProof/>
                <w:vertAlign w:val="superscript"/>
              </w:rPr>
              <w:t>-1</w:t>
            </w: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LF-SOM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Light fraction soil organic matter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mg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  <w:vAlign w:val="center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CO</w:t>
            </w:r>
            <w:r w:rsidRPr="00411886">
              <w:rPr>
                <w:noProof/>
                <w:vertAlign w:val="subscript"/>
              </w:rPr>
              <w:t>2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Average CO</w:t>
            </w:r>
            <w:r w:rsidRPr="00411886">
              <w:rPr>
                <w:noProof/>
                <w:vertAlign w:val="subscript"/>
              </w:rPr>
              <w:t>2</w:t>
            </w:r>
            <w:r>
              <w:rPr>
                <w:bCs/>
                <w:noProof/>
              </w:rPr>
              <w:t xml:space="preserve"> respiration rate in </w:t>
            </w:r>
            <w:r w:rsidRPr="00411886">
              <w:rPr>
                <w:bCs/>
                <w:noProof/>
              </w:rPr>
              <w:t>100-day soil incubation</w:t>
            </w:r>
            <w:r>
              <w:rPr>
                <w:bCs/>
                <w:noProof/>
                <w:vertAlign w:val="superscript"/>
              </w:rPr>
              <w:t>z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µg CO</w:t>
            </w:r>
            <w:r w:rsidRPr="00411886">
              <w:rPr>
                <w:bCs/>
                <w:noProof/>
                <w:vertAlign w:val="subscript"/>
              </w:rPr>
              <w:t>2</w:t>
            </w:r>
            <w:r w:rsidRPr="00411886">
              <w:rPr>
                <w:bCs/>
                <w:noProof/>
              </w:rPr>
              <w:t xml:space="preserve"> g soil</w:t>
            </w:r>
            <w:r w:rsidRPr="00411886">
              <w:rPr>
                <w:bCs/>
                <w:noProof/>
                <w:vertAlign w:val="superscript"/>
              </w:rPr>
              <w:t>-1</w:t>
            </w:r>
            <w:r w:rsidRPr="00411886">
              <w:rPr>
                <w:bCs/>
                <w:noProof/>
              </w:rPr>
              <w:t>d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  <w:vAlign w:val="center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BG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β-1,4-glucosidase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nmol h</w:t>
            </w:r>
            <w:r w:rsidRPr="00411886">
              <w:rPr>
                <w:bCs/>
                <w:noProof/>
                <w:vertAlign w:val="superscript"/>
              </w:rPr>
              <w:t>-1</w:t>
            </w:r>
            <w:r w:rsidRPr="00411886">
              <w:rPr>
                <w:bCs/>
                <w:noProof/>
              </w:rPr>
              <w:t xml:space="preserve">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CBH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β-D-1,4-cellobiosidase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nmol h</w:t>
            </w:r>
            <w:r w:rsidRPr="00411886">
              <w:rPr>
                <w:bCs/>
                <w:noProof/>
                <w:vertAlign w:val="superscript"/>
              </w:rPr>
              <w:t>-1</w:t>
            </w:r>
            <w:r w:rsidRPr="00411886">
              <w:rPr>
                <w:bCs/>
                <w:noProof/>
              </w:rPr>
              <w:t xml:space="preserve">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NAG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β-1,4-</w:t>
            </w:r>
            <w:r w:rsidRPr="00411886">
              <w:rPr>
                <w:bCs/>
                <w:i/>
                <w:noProof/>
              </w:rPr>
              <w:t>N</w:t>
            </w:r>
            <w:r w:rsidRPr="00411886">
              <w:rPr>
                <w:bCs/>
                <w:noProof/>
              </w:rPr>
              <w:t>-acetylglucosiminadase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nmol h</w:t>
            </w:r>
            <w:r w:rsidRPr="00411886">
              <w:rPr>
                <w:bCs/>
                <w:noProof/>
                <w:vertAlign w:val="superscript"/>
              </w:rPr>
              <w:t>-1</w:t>
            </w:r>
            <w:r w:rsidRPr="00411886">
              <w:rPr>
                <w:bCs/>
                <w:noProof/>
              </w:rPr>
              <w:t xml:space="preserve">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PHOS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 xml:space="preserve">Acid phosphatase 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nmol h</w:t>
            </w:r>
            <w:r w:rsidRPr="00411886">
              <w:rPr>
                <w:bCs/>
                <w:noProof/>
                <w:vertAlign w:val="superscript"/>
              </w:rPr>
              <w:t>-1</w:t>
            </w:r>
            <w:r w:rsidRPr="00411886">
              <w:rPr>
                <w:bCs/>
                <w:noProof/>
              </w:rPr>
              <w:t xml:space="preserve">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POX</w:t>
            </w:r>
          </w:p>
        </w:tc>
        <w:tc>
          <w:tcPr>
            <w:tcW w:w="3398" w:type="dxa"/>
            <w:shd w:val="clear" w:color="auto" w:fill="auto"/>
            <w:noWrap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Phenol oxidase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nmol h</w:t>
            </w:r>
            <w:r w:rsidRPr="00411886">
              <w:rPr>
                <w:bCs/>
                <w:noProof/>
                <w:vertAlign w:val="superscript"/>
              </w:rPr>
              <w:t>-1</w:t>
            </w:r>
            <w:r w:rsidRPr="00411886">
              <w:rPr>
                <w:bCs/>
                <w:noProof/>
              </w:rPr>
              <w:t xml:space="preserve">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Bact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Cultivable bacteria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CFU</w:t>
            </w:r>
            <w:r>
              <w:rPr>
                <w:bCs/>
                <w:noProof/>
                <w:vertAlign w:val="superscript"/>
              </w:rPr>
              <w:t xml:space="preserve"> y</w:t>
            </w:r>
            <w:r w:rsidRPr="00411886">
              <w:rPr>
                <w:bCs/>
                <w:noProof/>
              </w:rPr>
              <w:t xml:space="preserve">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Fungi</w:t>
            </w:r>
          </w:p>
        </w:tc>
        <w:tc>
          <w:tcPr>
            <w:tcW w:w="3398" w:type="dxa"/>
            <w:shd w:val="clear" w:color="auto" w:fill="auto"/>
            <w:noWrap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Cultivable fungi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CFU</w:t>
            </w:r>
            <w:r w:rsidRPr="00411886">
              <w:rPr>
                <w:bCs/>
                <w:noProof/>
                <w:vertAlign w:val="superscript"/>
              </w:rPr>
              <w:t xml:space="preserve"> </w:t>
            </w:r>
            <w:r w:rsidRPr="00411886">
              <w:rPr>
                <w:bCs/>
                <w:noProof/>
              </w:rPr>
              <w:t>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Trich</w:t>
            </w:r>
          </w:p>
        </w:tc>
        <w:tc>
          <w:tcPr>
            <w:tcW w:w="3398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i/>
                <w:noProof/>
              </w:rPr>
              <w:t>Trichoderma</w:t>
            </w:r>
            <w:r w:rsidRPr="00411886">
              <w:rPr>
                <w:bCs/>
                <w:noProof/>
              </w:rPr>
              <w:t xml:space="preserve"> spp.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CFU g soil</w:t>
            </w:r>
            <w:r w:rsidRPr="00411886">
              <w:rPr>
                <w:bCs/>
                <w:noProof/>
                <w:vertAlign w:val="superscript"/>
              </w:rPr>
              <w:t>-1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i/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ERM</w:t>
            </w:r>
          </w:p>
        </w:tc>
        <w:tc>
          <w:tcPr>
            <w:tcW w:w="3398" w:type="dxa"/>
            <w:shd w:val="clear" w:color="auto" w:fill="auto"/>
            <w:noWrap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Ericoid mycorrhizae colonization</w:t>
            </w:r>
          </w:p>
        </w:tc>
        <w:tc>
          <w:tcPr>
            <w:tcW w:w="20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Hair root epidermal cells </w:t>
            </w:r>
            <w:r w:rsidRPr="00411886">
              <w:rPr>
                <w:bCs/>
                <w:noProof/>
              </w:rPr>
              <w:t>containing hyphal coils (%)</w:t>
            </w:r>
          </w:p>
        </w:tc>
        <w:tc>
          <w:tcPr>
            <w:tcW w:w="1550" w:type="dxa"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  <w:tr w:rsidR="00D02BF3" w:rsidRPr="00411886" w:rsidTr="00D5535C">
        <w:trPr>
          <w:trHeight w:val="20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  <w:r w:rsidRPr="00411886">
              <w:rPr>
                <w:noProof/>
              </w:rPr>
              <w:t>DSE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Dark septate endophyte colonization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</w:tcPr>
          <w:p w:rsidR="00D02BF3" w:rsidRPr="00411886" w:rsidRDefault="00D02BF3" w:rsidP="00D5535C">
            <w:pPr>
              <w:spacing w:after="0" w:line="276" w:lineRule="auto"/>
              <w:rPr>
                <w:bCs/>
                <w:noProof/>
              </w:rPr>
            </w:pPr>
            <w:r w:rsidRPr="00411886">
              <w:rPr>
                <w:bCs/>
                <w:noProof/>
              </w:rPr>
              <w:t>Hair root epidermal cells containing microsclerotia (%)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02BF3" w:rsidRPr="00411886" w:rsidRDefault="00D02BF3" w:rsidP="00D5535C">
            <w:pPr>
              <w:spacing w:after="0" w:line="276" w:lineRule="auto"/>
              <w:rPr>
                <w:noProof/>
              </w:rPr>
            </w:pPr>
          </w:p>
        </w:tc>
      </w:tr>
    </w:tbl>
    <w:p w:rsidR="00D02BF3" w:rsidRDefault="00D02BF3" w:rsidP="00D02BF3">
      <w:pPr>
        <w:spacing w:after="40" w:line="276" w:lineRule="auto"/>
        <w:rPr>
          <w:noProof/>
        </w:rPr>
      </w:pPr>
      <w:r>
        <w:rPr>
          <w:noProof/>
          <w:vertAlign w:val="superscript"/>
        </w:rPr>
        <w:t>z</w:t>
      </w:r>
      <w:r w:rsidRPr="00411886">
        <w:rPr>
          <w:noProof/>
        </w:rPr>
        <w:t xml:space="preserve">Soil incubated at 25°C and 60% soil water holding capacity (WHC) </w:t>
      </w:r>
    </w:p>
    <w:p w:rsidR="00D02BF3" w:rsidRDefault="00D02BF3" w:rsidP="00D02BF3">
      <w:pPr>
        <w:spacing w:line="276" w:lineRule="auto"/>
        <w:rPr>
          <w:noProof/>
        </w:rPr>
      </w:pPr>
      <w:r>
        <w:rPr>
          <w:noProof/>
          <w:vertAlign w:val="superscript"/>
        </w:rPr>
        <w:t>y</w:t>
      </w:r>
      <w:r w:rsidRPr="00411886">
        <w:rPr>
          <w:noProof/>
        </w:rPr>
        <w:t>=Colony forming units</w:t>
      </w:r>
      <w:r>
        <w:rPr>
          <w:noProof/>
        </w:rPr>
        <w:br w:type="page"/>
      </w:r>
    </w:p>
    <w:p w:rsidR="00D02BF3" w:rsidRDefault="00D02BF3" w:rsidP="00D02BF3">
      <w:pPr>
        <w:rPr>
          <w:noProof/>
        </w:rPr>
        <w:sectPr w:rsidR="00D02BF3" w:rsidSect="004118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2BF3" w:rsidRDefault="00D02BF3" w:rsidP="00D02BF3">
      <w:r w:rsidRPr="00E37FC5">
        <w:rPr>
          <w:b/>
          <w:noProof/>
        </w:rPr>
        <w:lastRenderedPageBreak/>
        <w:t>Table 3</w:t>
      </w:r>
      <w:r>
        <w:rPr>
          <w:noProof/>
        </w:rPr>
        <w:t xml:space="preserve">. </w:t>
      </w:r>
      <w:proofErr w:type="gramStart"/>
      <w:r>
        <w:t>Effects of organic and conventional management on plant health and soil properties in organic and conventional blueberries assessed in 2008.</w:t>
      </w:r>
      <w:proofErr w:type="gramEnd"/>
      <w:r>
        <w:t xml:space="preserve"> Biological soil measurements (</w:t>
      </w:r>
      <w:proofErr w:type="spellStart"/>
      <w:r>
        <w:t>Nmin</w:t>
      </w:r>
      <w:proofErr w:type="spellEnd"/>
      <w:r>
        <w:t xml:space="preserve">, </w:t>
      </w:r>
      <w:proofErr w:type="spellStart"/>
      <w:r>
        <w:t>Nitr</w:t>
      </w:r>
      <w:proofErr w:type="spellEnd"/>
      <w:r>
        <w:t xml:space="preserve">, </w:t>
      </w:r>
      <w:proofErr w:type="spellStart"/>
      <w:r>
        <w:t>Rnirt</w:t>
      </w:r>
      <w:proofErr w:type="spellEnd"/>
      <w:r>
        <w:t xml:space="preserve">, LF-SOM, CO2, BG, NAG, PHOS, </w:t>
      </w:r>
      <w:proofErr w:type="spellStart"/>
      <w:r>
        <w:t>Bact</w:t>
      </w:r>
      <w:proofErr w:type="spellEnd"/>
      <w:r>
        <w:t xml:space="preserve">, Fungi, </w:t>
      </w:r>
      <w:proofErr w:type="spellStart"/>
      <w:proofErr w:type="gramStart"/>
      <w:r>
        <w:t>Trich</w:t>
      </w:r>
      <w:proofErr w:type="spellEnd"/>
      <w:proofErr w:type="gramEnd"/>
      <w:r>
        <w:t xml:space="preserve">) reflect values on sandy soil types at 0-5 cm soil depth (muck soils were omitted from the analysis). Remaining soil measurements and ERM and DSE colonization are at 0-30 cm soil depth. Variable abbreviations and measurement units are shown in Table 2. Bold-face font indicates a significant difference at </w:t>
      </w:r>
      <w:r w:rsidRPr="002B0AF9">
        <w:rPr>
          <w:i/>
        </w:rPr>
        <w:t>P</w:t>
      </w:r>
      <w:r>
        <w:t xml:space="preserve"> &lt; 0.05. Values for POX (phenol </w:t>
      </w:r>
      <w:proofErr w:type="spellStart"/>
      <w:r>
        <w:t>oxidase</w:t>
      </w:r>
      <w:proofErr w:type="spellEnd"/>
      <w:r>
        <w:t xml:space="preserve">) are not shown because zero-values were recorded for both organic and conventionally managed soils. </w:t>
      </w:r>
    </w:p>
    <w:tbl>
      <w:tblPr>
        <w:tblW w:w="13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"/>
        <w:gridCol w:w="461"/>
        <w:gridCol w:w="461"/>
        <w:gridCol w:w="461"/>
        <w:gridCol w:w="461"/>
        <w:gridCol w:w="461"/>
        <w:gridCol w:w="461"/>
        <w:gridCol w:w="461"/>
        <w:gridCol w:w="461"/>
        <w:gridCol w:w="446"/>
        <w:gridCol w:w="461"/>
        <w:gridCol w:w="446"/>
        <w:gridCol w:w="446"/>
        <w:gridCol w:w="461"/>
        <w:gridCol w:w="461"/>
        <w:gridCol w:w="461"/>
        <w:gridCol w:w="461"/>
        <w:gridCol w:w="461"/>
        <w:gridCol w:w="461"/>
        <w:gridCol w:w="432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02BF3" w:rsidRPr="000D50BF" w:rsidTr="00D5535C">
        <w:trPr>
          <w:trHeight w:val="43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Anth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Leaf N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Leaf 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Leaf Ca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Leaf Mg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Leaf Fe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SOM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Bray 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Nmin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Nitr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Rnitr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LF- SOM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CO</w:t>
            </w:r>
            <w:r w:rsidRPr="000D50BF">
              <w:rPr>
                <w:rFonts w:ascii="Calibri" w:eastAsia="Times New Roman" w:hAnsi="Calibri"/>
                <w:color w:val="000000"/>
                <w:sz w:val="28"/>
                <w:szCs w:val="20"/>
                <w:vertAlign w:val="subscri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CBH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NAG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PHOS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Bact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Trich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ERM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DSE</w:t>
            </w:r>
          </w:p>
        </w:tc>
      </w:tr>
      <w:tr w:rsidR="00D02BF3" w:rsidRPr="002B0AF9" w:rsidTr="00D5535C">
        <w:trPr>
          <w:trHeight w:val="43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Org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4.8 x 10</w:t>
            </w: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1.8 x 10</w:t>
            </w: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1.2 x 10</w:t>
            </w: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5.5</w:t>
            </w:r>
          </w:p>
        </w:tc>
      </w:tr>
      <w:tr w:rsidR="00D02BF3" w:rsidRPr="002B0AF9" w:rsidTr="00D5535C">
        <w:trPr>
          <w:trHeight w:val="43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Conv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241.9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1.6 x 10</w:t>
            </w: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1.4 x 10</w:t>
            </w: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1.3 x 10</w:t>
            </w: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color w:val="000000"/>
                <w:sz w:val="20"/>
                <w:szCs w:val="20"/>
              </w:rPr>
              <w:t>3.0</w:t>
            </w:r>
          </w:p>
        </w:tc>
      </w:tr>
      <w:tr w:rsidR="00D02BF3" w:rsidRPr="000D50BF" w:rsidTr="00D5535C">
        <w:trPr>
          <w:trHeight w:val="43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ANOVA p-value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2B0AF9" w:rsidRDefault="00D02BF3" w:rsidP="00D5535C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B0AF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3" w:rsidRPr="000D50BF" w:rsidRDefault="00D02BF3" w:rsidP="00D5535C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0.43</w:t>
            </w:r>
          </w:p>
        </w:tc>
      </w:tr>
    </w:tbl>
    <w:p w:rsidR="00D02BF3" w:rsidRDefault="00D02BF3" w:rsidP="00D02BF3"/>
    <w:p w:rsidR="00D02BF3" w:rsidRDefault="00D02BF3" w:rsidP="00D02BF3">
      <w:pPr>
        <w:spacing w:line="276" w:lineRule="auto"/>
      </w:pPr>
      <w:r>
        <w:br w:type="page"/>
      </w:r>
    </w:p>
    <w:p w:rsidR="00D02BF3" w:rsidRDefault="00D02BF3" w:rsidP="00D02BF3">
      <w:pPr>
        <w:sectPr w:rsidR="00D02BF3" w:rsidSect="00C62B6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02BF3" w:rsidRPr="000D50BF" w:rsidRDefault="00D02BF3" w:rsidP="00D02BF3">
      <w:pPr>
        <w:spacing w:after="20"/>
        <w:rPr>
          <w:rFonts w:eastAsia="Times New Roman" w:cs="Times New Roman"/>
          <w:bCs/>
          <w:color w:val="FF0000"/>
          <w:sz w:val="22"/>
        </w:rPr>
      </w:pPr>
      <w:proofErr w:type="gramStart"/>
      <w:r>
        <w:rPr>
          <w:rFonts w:eastAsia="Times New Roman" w:cs="Times New Roman"/>
          <w:b/>
          <w:sz w:val="22"/>
        </w:rPr>
        <w:lastRenderedPageBreak/>
        <w:t>Table 4.</w:t>
      </w:r>
      <w:proofErr w:type="gramEnd"/>
      <w:r>
        <w:rPr>
          <w:rFonts w:eastAsia="Times New Roman" w:cs="Times New Roman"/>
          <w:b/>
          <w:sz w:val="22"/>
        </w:rPr>
        <w:t xml:space="preserve"> </w:t>
      </w:r>
      <w:r w:rsidRPr="000D50BF">
        <w:rPr>
          <w:rFonts w:eastAsia="Times New Roman" w:cs="Times New Roman"/>
          <w:bCs/>
          <w:color w:val="000000" w:themeColor="text1"/>
          <w:sz w:val="22"/>
        </w:rPr>
        <w:t>Correlations among variables measured on sandy soils collected at 0</w:t>
      </w:r>
      <w:r w:rsidRPr="000D50BF">
        <w:rPr>
          <w:rFonts w:eastAsia="Times New Roman" w:cs="Times New Roman"/>
          <w:color w:val="000000" w:themeColor="text1"/>
          <w:sz w:val="22"/>
        </w:rPr>
        <w:t>−30 cm depth</w:t>
      </w:r>
      <w:r w:rsidRPr="000D50BF">
        <w:rPr>
          <w:rFonts w:eastAsia="Times New Roman" w:cs="Times New Roman"/>
          <w:bCs/>
          <w:color w:val="000000" w:themeColor="text1"/>
          <w:sz w:val="22"/>
        </w:rPr>
        <w:t xml:space="preserve"> from organic and conventional blueberry farms (n=12) in late September and early October 2008</w:t>
      </w:r>
      <w:r>
        <w:rPr>
          <w:rFonts w:eastAsia="Times New Roman" w:cs="Times New Roman"/>
          <w:bCs/>
          <w:color w:val="000000" w:themeColor="text1"/>
          <w:sz w:val="22"/>
        </w:rPr>
        <w:t xml:space="preserve"> (muck soils were omitted from the analysis). Variable abbreviations</w:t>
      </w:r>
      <w:r w:rsidRPr="000D50BF">
        <w:rPr>
          <w:rFonts w:eastAsia="Times New Roman" w:cs="Times New Roman"/>
          <w:bCs/>
          <w:color w:val="000000" w:themeColor="text1"/>
          <w:sz w:val="22"/>
        </w:rPr>
        <w:t xml:space="preserve"> are defined in Table 2. Bold-face </w:t>
      </w:r>
      <w:r>
        <w:rPr>
          <w:rFonts w:eastAsia="Times New Roman" w:cs="Times New Roman"/>
          <w:bCs/>
          <w:color w:val="000000" w:themeColor="text1"/>
          <w:sz w:val="22"/>
        </w:rPr>
        <w:t>font</w:t>
      </w:r>
      <w:r w:rsidRPr="000D50BF">
        <w:rPr>
          <w:rFonts w:eastAsia="Times New Roman" w:cs="Times New Roman"/>
          <w:bCs/>
          <w:color w:val="000000" w:themeColor="text1"/>
          <w:sz w:val="22"/>
        </w:rPr>
        <w:t xml:space="preserve"> indicates a significant relationship at </w:t>
      </w:r>
      <w:r w:rsidRPr="000D50BF">
        <w:rPr>
          <w:rFonts w:eastAsia="Times New Roman" w:cs="Times New Roman"/>
          <w:bCs/>
          <w:i/>
          <w:color w:val="000000" w:themeColor="text1"/>
          <w:sz w:val="22"/>
        </w:rPr>
        <w:t>P</w:t>
      </w:r>
      <w:r w:rsidRPr="000D50BF">
        <w:rPr>
          <w:rFonts w:eastAsia="Times New Roman" w:cs="Times New Roman"/>
          <w:bCs/>
          <w:color w:val="000000" w:themeColor="text1"/>
          <w:sz w:val="22"/>
        </w:rPr>
        <w:t xml:space="preserve"> &lt; 0.05.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475"/>
        <w:gridCol w:w="475"/>
        <w:gridCol w:w="461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61"/>
        <w:gridCol w:w="475"/>
        <w:gridCol w:w="475"/>
        <w:gridCol w:w="518"/>
        <w:gridCol w:w="475"/>
        <w:gridCol w:w="475"/>
        <w:gridCol w:w="490"/>
        <w:gridCol w:w="454"/>
      </w:tblGrid>
      <w:tr w:rsidR="00D02BF3" w:rsidRPr="000D50BF" w:rsidTr="00D5535C">
        <w:trPr>
          <w:trHeight w:val="50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SOM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Pr="000D50BF">
              <w:rPr>
                <w:rFonts w:ascii="Calibri" w:eastAsia="Times New Roman" w:hAnsi="Calibri"/>
                <w:color w:val="000000"/>
                <w:sz w:val="28"/>
                <w:szCs w:val="20"/>
                <w:vertAlign w:val="subscript"/>
              </w:rPr>
              <w:t>2</w:t>
            </w: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Bray P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Nmin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Nitr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Rnitr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LF- SOM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CO</w:t>
            </w:r>
            <w:r w:rsidRPr="000D50BF">
              <w:rPr>
                <w:rFonts w:ascii="Calibri" w:eastAsia="Times New Roman" w:hAnsi="Calibri"/>
                <w:color w:val="000000"/>
                <w:sz w:val="28"/>
                <w:szCs w:val="20"/>
                <w:vertAlign w:val="subscript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CBH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NAG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PHOS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Bact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Trich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BF3" w:rsidRPr="000D50BF" w:rsidRDefault="00D02BF3" w:rsidP="00D5535C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="Times New Roman" w:hAnsi="Calibri"/>
                <w:color w:val="000000"/>
                <w:sz w:val="20"/>
                <w:szCs w:val="20"/>
              </w:rPr>
              <w:t>ERM</w:t>
            </w:r>
          </w:p>
        </w:tc>
      </w:tr>
      <w:tr w:rsidR="00D02BF3" w:rsidRPr="000D50BF" w:rsidTr="00D5535C">
        <w:trPr>
          <w:trHeight w:val="274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H</w:t>
            </w:r>
            <w:r w:rsidRPr="000D50BF">
              <w:rPr>
                <w:rFonts w:ascii="Calibri" w:eastAsiaTheme="minorHAnsi" w:hAnsi="Calibri"/>
                <w:color w:val="000000"/>
                <w:sz w:val="28"/>
                <w:szCs w:val="20"/>
                <w:vertAlign w:val="subscript"/>
              </w:rPr>
              <w:t>2</w:t>
            </w: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Bray P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Nmin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Nitri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Rnitr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LF-SOM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8"/>
                <w:szCs w:val="20"/>
                <w:vertAlign w:val="subscript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CO</w:t>
            </w:r>
            <w:r w:rsidRPr="000D50BF">
              <w:rPr>
                <w:rFonts w:ascii="Calibri" w:eastAsiaTheme="minorHAnsi" w:hAnsi="Calibri"/>
                <w:color w:val="000000"/>
                <w:sz w:val="28"/>
                <w:szCs w:val="20"/>
                <w:vertAlign w:val="subscript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97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CBH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NAG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PHOS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Bact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proofErr w:type="spellStart"/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Trich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288"/>
        </w:trPr>
        <w:tc>
          <w:tcPr>
            <w:tcW w:w="86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ERM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</w:p>
        </w:tc>
      </w:tr>
      <w:tr w:rsidR="00D02BF3" w:rsidRPr="000D50BF" w:rsidTr="00D5535C">
        <w:trPr>
          <w:trHeight w:val="302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DSE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F3" w:rsidRPr="000D50BF" w:rsidRDefault="00D02BF3" w:rsidP="00D5535C">
            <w:pPr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/>
                <w:color w:val="000000"/>
                <w:sz w:val="20"/>
                <w:szCs w:val="20"/>
              </w:rPr>
            </w:pPr>
            <w:r w:rsidRPr="000D50BF">
              <w:rPr>
                <w:rFonts w:ascii="Calibri" w:eastAsiaTheme="minorHAnsi" w:hAnsi="Calibri"/>
                <w:color w:val="000000"/>
                <w:sz w:val="20"/>
                <w:szCs w:val="20"/>
              </w:rPr>
              <w:t>-0.5</w:t>
            </w:r>
          </w:p>
        </w:tc>
      </w:tr>
    </w:tbl>
    <w:p w:rsidR="00D02BF3" w:rsidRDefault="00D02BF3" w:rsidP="00D02BF3"/>
    <w:p w:rsidR="001158D2" w:rsidRDefault="00D02BF3" w:rsidP="00D02BF3">
      <w:pPr>
        <w:spacing w:line="276" w:lineRule="auto"/>
      </w:pPr>
    </w:p>
    <w:sectPr w:rsidR="001158D2" w:rsidSect="002D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2BF3"/>
    <w:rsid w:val="002D0F66"/>
    <w:rsid w:val="00583243"/>
    <w:rsid w:val="009622B2"/>
    <w:rsid w:val="00C20613"/>
    <w:rsid w:val="00D02BF3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F3"/>
    <w:pPr>
      <w:spacing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BF3"/>
    <w:pPr>
      <w:spacing w:after="0" w:line="240" w:lineRule="auto"/>
    </w:pPr>
    <w:rPr>
      <w:rFonts w:ascii="Times New Roman" w:hAnsi="Times New Roman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2</dc:creator>
  <cp:lastModifiedBy>Jesse 2</cp:lastModifiedBy>
  <cp:revision>1</cp:revision>
  <dcterms:created xsi:type="dcterms:W3CDTF">2010-10-18T08:40:00Z</dcterms:created>
  <dcterms:modified xsi:type="dcterms:W3CDTF">2010-10-18T08:43:00Z</dcterms:modified>
</cp:coreProperties>
</file>