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1F" w:rsidRPr="00200EC6" w:rsidRDefault="0020601F" w:rsidP="0020601F">
      <w:proofErr w:type="gramStart"/>
      <w:r>
        <w:t>Table 2.</w:t>
      </w:r>
      <w:proofErr w:type="gramEnd"/>
      <w:r>
        <w:t xml:space="preserve">  Percent mortality and final </w:t>
      </w:r>
      <w:proofErr w:type="spellStart"/>
      <w:r>
        <w:t>midgut</w:t>
      </w:r>
      <w:proofErr w:type="spellEnd"/>
      <w:r>
        <w:t xml:space="preserve"> spore counts 23 days after caging.  Bees were either inoculation with 40,000 </w:t>
      </w:r>
      <w:r w:rsidRPr="00200EC6">
        <w:rPr>
          <w:i/>
        </w:rPr>
        <w:t>Nosema</w:t>
      </w:r>
      <w:r>
        <w:t xml:space="preserve"> spores or left healthy.  One of four compounds may have been used as treatment or they may have been left untreated.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0601F" w:rsidTr="001125DF">
        <w:tc>
          <w:tcPr>
            <w:tcW w:w="2394" w:type="dxa"/>
          </w:tcPr>
          <w:p w:rsidR="0020601F" w:rsidRDefault="0020601F" w:rsidP="001125DF"/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% Mortality 23 days post inoculation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proofErr w:type="spellStart"/>
            <w:r>
              <w:t>Midgut</w:t>
            </w:r>
            <w:proofErr w:type="spellEnd"/>
            <w:r>
              <w:t xml:space="preserve"> spore counts 23 days post inoculation </w:t>
            </w:r>
            <w:r w:rsidRPr="00693CC1">
              <w:rPr>
                <w:i/>
              </w:rPr>
              <w:t>Nosema apis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proofErr w:type="spellStart"/>
            <w:r>
              <w:t>Midgut</w:t>
            </w:r>
            <w:proofErr w:type="spellEnd"/>
            <w:r>
              <w:t xml:space="preserve"> spore counts 23 days post inoculation </w:t>
            </w:r>
            <w:r w:rsidRPr="00693CC1">
              <w:rPr>
                <w:i/>
              </w:rPr>
              <w:t>Nosema</w:t>
            </w:r>
            <w:r>
              <w:rPr>
                <w:i/>
              </w:rPr>
              <w:t xml:space="preserve"> ceranae</w:t>
            </w:r>
          </w:p>
        </w:tc>
      </w:tr>
      <w:tr w:rsidR="0020601F" w:rsidTr="001125DF">
        <w:tc>
          <w:tcPr>
            <w:tcW w:w="2394" w:type="dxa"/>
          </w:tcPr>
          <w:p w:rsidR="0020601F" w:rsidRDefault="0020601F" w:rsidP="001125DF">
            <w:r>
              <w:t>Uninfected control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11.6%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None Detected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None Detected</w:t>
            </w:r>
          </w:p>
        </w:tc>
      </w:tr>
      <w:tr w:rsidR="0020601F" w:rsidTr="001125DF">
        <w:tc>
          <w:tcPr>
            <w:tcW w:w="2394" w:type="dxa"/>
          </w:tcPr>
          <w:p w:rsidR="0020601F" w:rsidRDefault="0020601F" w:rsidP="001125DF">
            <w:r>
              <w:t>Treated with thymol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9.7%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20 Million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110 Million</w:t>
            </w:r>
          </w:p>
        </w:tc>
      </w:tr>
      <w:tr w:rsidR="0020601F" w:rsidTr="001125DF">
        <w:tc>
          <w:tcPr>
            <w:tcW w:w="2394" w:type="dxa"/>
          </w:tcPr>
          <w:p w:rsidR="0020601F" w:rsidRDefault="0020601F" w:rsidP="001125DF">
            <w:r>
              <w:t>Honey-B-Healthy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14.7%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170 Million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169 Million</w:t>
            </w:r>
          </w:p>
        </w:tc>
      </w:tr>
      <w:tr w:rsidR="0020601F" w:rsidTr="001125DF">
        <w:tc>
          <w:tcPr>
            <w:tcW w:w="2394" w:type="dxa"/>
          </w:tcPr>
          <w:p w:rsidR="0020601F" w:rsidRDefault="0020601F" w:rsidP="001125DF">
            <w:r>
              <w:t>Fumagillin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38.9%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0.4 Million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2.5 Million</w:t>
            </w:r>
          </w:p>
        </w:tc>
      </w:tr>
      <w:tr w:rsidR="0020601F" w:rsidTr="001125DF">
        <w:tc>
          <w:tcPr>
            <w:tcW w:w="2394" w:type="dxa"/>
          </w:tcPr>
          <w:p w:rsidR="0020601F" w:rsidRDefault="0020601F" w:rsidP="001125DF">
            <w:r>
              <w:t>Nozevit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73.9%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78 Million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116 Million</w:t>
            </w:r>
          </w:p>
        </w:tc>
      </w:tr>
      <w:tr w:rsidR="0020601F" w:rsidTr="001125DF">
        <w:tc>
          <w:tcPr>
            <w:tcW w:w="2394" w:type="dxa"/>
          </w:tcPr>
          <w:p w:rsidR="0020601F" w:rsidRDefault="0020601F" w:rsidP="001125DF">
            <w:r>
              <w:t>Infected, Untreated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60%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153 Million</w:t>
            </w:r>
          </w:p>
        </w:tc>
        <w:tc>
          <w:tcPr>
            <w:tcW w:w="2394" w:type="dxa"/>
          </w:tcPr>
          <w:p w:rsidR="0020601F" w:rsidRDefault="0020601F" w:rsidP="001125DF">
            <w:pPr>
              <w:jc w:val="center"/>
            </w:pPr>
            <w:r>
              <w:t>158 Million</w:t>
            </w:r>
          </w:p>
        </w:tc>
      </w:tr>
    </w:tbl>
    <w:p w:rsidR="0020601F" w:rsidRDefault="0020601F" w:rsidP="0020601F"/>
    <w:p w:rsidR="0020601F" w:rsidRDefault="0020601F" w:rsidP="0020601F"/>
    <w:p w:rsidR="0020601F" w:rsidRDefault="0020601F" w:rsidP="0020601F">
      <w:proofErr w:type="gramStart"/>
      <w:r>
        <w:t>Figures 1-3.</w:t>
      </w:r>
      <w:proofErr w:type="gramEnd"/>
      <w:r>
        <w:t xml:space="preserve"> </w:t>
      </w:r>
      <w:proofErr w:type="gramStart"/>
      <w:r>
        <w:t>Results of survival analysis on the mortality of honey bees.</w:t>
      </w:r>
      <w:proofErr w:type="gramEnd"/>
      <w:r>
        <w:t xml:space="preserve">  The dashed lines indicate a 95% confidence interval.   </w:t>
      </w:r>
    </w:p>
    <w:p w:rsidR="0020601F" w:rsidRDefault="0020601F" w:rsidP="0020601F">
      <w:r w:rsidRPr="006F78E3">
        <w:rPr>
          <w:noProof/>
        </w:rPr>
        <w:drawing>
          <wp:inline distT="0" distB="0" distL="0" distR="0">
            <wp:extent cx="5943600" cy="3726180"/>
            <wp:effectExtent l="19050" t="0" r="0" b="0"/>
            <wp:docPr id="1" name="Picture 1" descr="infected-v-uninfec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nfected-v-uninfected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01F" w:rsidRDefault="0020601F" w:rsidP="0020601F">
      <w:r>
        <w:br w:type="page"/>
      </w:r>
    </w:p>
    <w:p w:rsidR="0020601F" w:rsidRDefault="0020601F" w:rsidP="0020601F"/>
    <w:p w:rsidR="0020601F" w:rsidRDefault="0020601F" w:rsidP="0020601F">
      <w:r>
        <w:t>Figure2.</w:t>
      </w:r>
    </w:p>
    <w:p w:rsidR="0020601F" w:rsidRDefault="0020601F" w:rsidP="0020601F">
      <w:r w:rsidRPr="006E7FAA">
        <w:rPr>
          <w:noProof/>
        </w:rPr>
        <w:drawing>
          <wp:inline distT="0" distB="0" distL="0" distR="0">
            <wp:extent cx="5943600" cy="3752850"/>
            <wp:effectExtent l="19050" t="0" r="0" b="0"/>
            <wp:docPr id="2" name="Picture 2" descr="thymol-HBH-fu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hymol-HBH-fum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01F" w:rsidRDefault="0020601F">
      <w:r>
        <w:br w:type="page"/>
      </w:r>
    </w:p>
    <w:p w:rsidR="0020601F" w:rsidRDefault="0020601F" w:rsidP="0020601F"/>
    <w:p w:rsidR="0020601F" w:rsidRDefault="0020601F" w:rsidP="0020601F">
      <w:r>
        <w:t>Figure 3</w:t>
      </w:r>
    </w:p>
    <w:p w:rsidR="0020601F" w:rsidRDefault="0020601F" w:rsidP="0020601F">
      <w:r w:rsidRPr="0078313B">
        <w:rPr>
          <w:noProof/>
        </w:rPr>
        <w:drawing>
          <wp:inline distT="0" distB="0" distL="0" distR="0">
            <wp:extent cx="5943600" cy="3752850"/>
            <wp:effectExtent l="19050" t="0" r="0" b="0"/>
            <wp:docPr id="3" name="Picture 3" descr="untrtd-noz-f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ntrtd-noz-fum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01F" w:rsidRDefault="0020601F" w:rsidP="0020601F">
      <w:r>
        <w:br w:type="page"/>
      </w:r>
      <w:proofErr w:type="gramStart"/>
      <w:r>
        <w:lastRenderedPageBreak/>
        <w:t>Figure 4.</w:t>
      </w:r>
      <w:proofErr w:type="gramEnd"/>
      <w:r>
        <w:t xml:space="preserve"> Spore counts of 10-15 honey bees 23 days after inoculation with either </w:t>
      </w:r>
      <w:r w:rsidRPr="0079271D">
        <w:rPr>
          <w:i/>
        </w:rPr>
        <w:t xml:space="preserve">Nosema </w:t>
      </w:r>
      <w:proofErr w:type="gramStart"/>
      <w:r w:rsidRPr="0079271D">
        <w:rPr>
          <w:i/>
        </w:rPr>
        <w:t>apis</w:t>
      </w:r>
      <w:proofErr w:type="gramEnd"/>
      <w:r>
        <w:t xml:space="preserve"> or </w:t>
      </w:r>
      <w:r w:rsidRPr="0079271D">
        <w:rPr>
          <w:i/>
        </w:rPr>
        <w:t>N. ceranae</w:t>
      </w:r>
      <w:r>
        <w:rPr>
          <w:i/>
        </w:rPr>
        <w:t xml:space="preserve"> </w:t>
      </w:r>
      <w:r>
        <w:t xml:space="preserve">and treatment with one of four compounds. </w:t>
      </w:r>
      <w:r w:rsidRPr="0079271D">
        <w:rPr>
          <w:noProof/>
        </w:rPr>
        <w:drawing>
          <wp:inline distT="0" distB="0" distL="0" distR="0">
            <wp:extent cx="5943600" cy="4114800"/>
            <wp:effectExtent l="1905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79970" cy="5867400"/>
                      <a:chOff x="587829" y="838200"/>
                      <a:chExt cx="8479970" cy="5867400"/>
                    </a:xfrm>
                  </a:grpSpPr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1295400" y="838200"/>
                        <a:ext cx="1847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14" name="Content Placeholder 13" descr="aov-trt-spc-fixed.jpg"/>
                      <a:cNvPicPr>
                        <a:picLocks noGrp="1" noChangeAspect="1"/>
                      </a:cNvPicPr>
                    </a:nvPicPr>
                    <a:blipFill>
                      <a:blip r:embed="rId7" cstate="print"/>
                      <a:srcRect l="7770" r="3324" b="5717"/>
                      <a:stretch>
                        <a:fillRect/>
                      </a:stretch>
                    </a:blipFill>
                    <a:spPr>
                      <a:xfrm>
                        <a:off x="587829" y="1066800"/>
                        <a:ext cx="8055428" cy="563880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1524000" y="1143000"/>
                        <a:ext cx="7543799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>
                              <a:solidFill>
                                <a:schemeClr val="bg1"/>
                              </a:solidFill>
                            </a:rPr>
                            <a:t>a       </a:t>
                          </a:r>
                          <a:r>
                            <a:rPr lang="en-US" sz="2400" dirty="0" err="1" smtClean="0">
                              <a:solidFill>
                                <a:schemeClr val="bg1"/>
                              </a:solidFill>
                            </a:rPr>
                            <a:t>a</a:t>
                          </a:r>
                          <a:r>
                            <a:rPr lang="en-US" sz="2400" dirty="0" smtClean="0">
                              <a:solidFill>
                                <a:schemeClr val="bg1"/>
                              </a:solidFill>
                            </a:rPr>
                            <a:t>         </a:t>
                          </a:r>
                          <a:r>
                            <a:rPr lang="en-US" sz="2400" dirty="0" err="1" smtClean="0">
                              <a:solidFill>
                                <a:schemeClr val="bg1"/>
                              </a:solidFill>
                            </a:rPr>
                            <a:t>bc</a:t>
                          </a:r>
                          <a:r>
                            <a:rPr lang="en-US" sz="2400" dirty="0" smtClean="0">
                              <a:solidFill>
                                <a:schemeClr val="bg1"/>
                              </a:solidFill>
                            </a:rPr>
                            <a:t>          </a:t>
                          </a:r>
                          <a:r>
                            <a:rPr lang="en-US" sz="2400" dirty="0" err="1" smtClean="0">
                              <a:solidFill>
                                <a:schemeClr val="bg1"/>
                              </a:solidFill>
                            </a:rPr>
                            <a:t>ab</a:t>
                          </a:r>
                          <a:r>
                            <a:rPr lang="en-US" sz="2400" dirty="0" smtClean="0">
                              <a:solidFill>
                                <a:schemeClr val="bg1"/>
                              </a:solidFill>
                            </a:rPr>
                            <a:t>        </a:t>
                          </a:r>
                          <a:r>
                            <a:rPr lang="en-US" sz="2400" dirty="0" err="1" smtClean="0">
                              <a:solidFill>
                                <a:schemeClr val="bg1"/>
                              </a:solidFill>
                            </a:rPr>
                            <a:t>cd</a:t>
                          </a:r>
                          <a:r>
                            <a:rPr lang="en-US" sz="2400" dirty="0" smtClean="0">
                              <a:solidFill>
                                <a:schemeClr val="bg1"/>
                              </a:solidFill>
                            </a:rPr>
                            <a:t>    </a:t>
                          </a:r>
                          <a:r>
                            <a:rPr lang="en-US" sz="2400" dirty="0" err="1" smtClean="0">
                              <a:solidFill>
                                <a:schemeClr val="bg1"/>
                              </a:solidFill>
                            </a:rPr>
                            <a:t>ab</a:t>
                          </a:r>
                          <a:r>
                            <a:rPr lang="en-US" sz="2400" dirty="0" smtClean="0">
                              <a:solidFill>
                                <a:schemeClr val="bg1"/>
                              </a:solidFill>
                            </a:rPr>
                            <a:t>      a       </a:t>
                          </a:r>
                          <a:r>
                            <a:rPr lang="en-US" sz="2400" dirty="0" err="1" smtClean="0">
                              <a:solidFill>
                                <a:schemeClr val="bg1"/>
                              </a:solidFill>
                            </a:rPr>
                            <a:t>a</a:t>
                          </a:r>
                          <a:r>
                            <a:rPr lang="en-US" sz="2400" dirty="0" smtClean="0">
                              <a:solidFill>
                                <a:schemeClr val="bg1"/>
                              </a:solidFill>
                            </a:rPr>
                            <a:t>        d       </a:t>
                          </a:r>
                          <a:r>
                            <a:rPr lang="en-US" sz="2400" dirty="0" err="1" smtClean="0">
                              <a:solidFill>
                                <a:schemeClr val="bg1"/>
                              </a:solidFill>
                            </a:rPr>
                            <a:t>d</a:t>
                          </a:r>
                          <a:endParaRPr lang="en-US" sz="2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0601F" w:rsidRDefault="0020601F" w:rsidP="0020601F"/>
    <w:p w:rsidR="00176DA0" w:rsidRDefault="00176DA0"/>
    <w:sectPr w:rsidR="00176DA0" w:rsidSect="00176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01F"/>
    <w:rsid w:val="00176DA0"/>
    <w:rsid w:val="0020601F"/>
    <w:rsid w:val="00870230"/>
    <w:rsid w:val="00F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</Words>
  <Characters>850</Characters>
  <Application>Microsoft Office Word</Application>
  <DocSecurity>0</DocSecurity>
  <Lines>7</Lines>
  <Paragraphs>1</Paragraphs>
  <ScaleCrop>false</ScaleCrop>
  <Company>University of Tennessee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prhoades</dc:creator>
  <cp:keywords/>
  <dc:description/>
  <cp:lastModifiedBy>prhoades</cp:lastModifiedBy>
  <cp:revision>1</cp:revision>
  <dcterms:created xsi:type="dcterms:W3CDTF">2011-04-20T17:23:00Z</dcterms:created>
  <dcterms:modified xsi:type="dcterms:W3CDTF">2011-04-20T17:26:00Z</dcterms:modified>
</cp:coreProperties>
</file>