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26" w:rsidRDefault="002178E7" w:rsidP="002C171F">
      <w:pPr>
        <w:spacing w:before="80" w:line="480" w:lineRule="auto"/>
        <w:outlineLvl w:val="0"/>
        <w:rPr>
          <w:b/>
        </w:rPr>
      </w:pPr>
      <w:r>
        <w:rPr>
          <w:b/>
        </w:rPr>
        <w:t>Timing Planting for Overwintered</w:t>
      </w:r>
      <w:r w:rsidR="002C48D1">
        <w:rPr>
          <w:b/>
        </w:rPr>
        <w:t xml:space="preserve"> Brassica Production in Low Tunnels</w:t>
      </w:r>
    </w:p>
    <w:p w:rsidR="00B43C26" w:rsidRDefault="00B43C26" w:rsidP="00B43C26">
      <w:pPr>
        <w:spacing w:before="80"/>
        <w:rPr>
          <w:b/>
          <w:bCs/>
        </w:rPr>
      </w:pPr>
      <w:r>
        <w:rPr>
          <w:b/>
          <w:bCs/>
        </w:rPr>
        <w:t>INTRODUCTION</w:t>
      </w:r>
    </w:p>
    <w:p w:rsidR="002178E7" w:rsidRDefault="002178E7" w:rsidP="00B43C26">
      <w:pPr>
        <w:spacing w:before="80"/>
        <w:rPr>
          <w:bCs/>
        </w:rPr>
      </w:pPr>
    </w:p>
    <w:p w:rsidR="00B43C26" w:rsidRDefault="00F65895" w:rsidP="00B43C26">
      <w:pPr>
        <w:spacing w:before="80"/>
      </w:pPr>
      <w:r w:rsidRPr="00AC7A8E">
        <w:rPr>
          <w:bCs/>
        </w:rPr>
        <w:t>In response to increasing demand for local vege</w:t>
      </w:r>
      <w:r w:rsidR="009A6D0B">
        <w:rPr>
          <w:bCs/>
        </w:rPr>
        <w:t>tables</w:t>
      </w:r>
      <w:r w:rsidRPr="00AC7A8E">
        <w:rPr>
          <w:bCs/>
        </w:rPr>
        <w:t xml:space="preserve">, growers are </w:t>
      </w:r>
      <w:r>
        <w:rPr>
          <w:bCs/>
        </w:rPr>
        <w:t xml:space="preserve">extending their production into the </w:t>
      </w:r>
      <w:r w:rsidR="00220C88">
        <w:rPr>
          <w:bCs/>
        </w:rPr>
        <w:t>colder</w:t>
      </w:r>
      <w:r>
        <w:rPr>
          <w:bCs/>
        </w:rPr>
        <w:t xml:space="preserve"> months.  Lo</w:t>
      </w:r>
      <w:r w:rsidR="00B43C26">
        <w:t xml:space="preserve">w tunnels are </w:t>
      </w:r>
      <w:r>
        <w:t>one cost-effective option for prolonging the fall harvest season until just prior to snowfall, as well as for growing hardy crops for early spring harvest.  These temporary, unheated structures afford less winter protection than the more widely used high tunnels, and are often inaccessible after snowfall. However, low tunnels with quick hoops can be erected for $0.50-$1.00 per square foot, estimated to be 5% of the cost of a 4-season greenhouse (Coleman 2009) or 15-30% of the cost of an unheated tunnel (Sideman). They also offer the advantage of being easily moved, allowing rotation of winter production areas.</w:t>
      </w:r>
      <w:r w:rsidR="009A6D0B">
        <w:t xml:space="preserve">  </w:t>
      </w:r>
      <w:r>
        <w:t xml:space="preserve">Low tunnels have been shown to provide sufficient winter protection for </w:t>
      </w:r>
      <w:r w:rsidR="002C48D1">
        <w:t xml:space="preserve">hardy </w:t>
      </w:r>
      <w:r>
        <w:t>fall-planted crops to survive</w:t>
      </w:r>
      <w:r w:rsidR="009A6D0B">
        <w:t>,</w:t>
      </w:r>
      <w:r>
        <w:t xml:space="preserve"> and speed up spring har</w:t>
      </w:r>
      <w:r w:rsidR="009A6D0B">
        <w:t>vest by 4-5 weeks</w:t>
      </w:r>
      <w:r>
        <w:t>.  Farmers have found that low tunnels can work</w:t>
      </w:r>
      <w:r>
        <w:rPr>
          <w:bCs/>
        </w:rPr>
        <w:t xml:space="preserve"> for overwintering crops of </w:t>
      </w:r>
      <w:commentRangeStart w:id="0"/>
      <w:r>
        <w:rPr>
          <w:bCs/>
        </w:rPr>
        <w:t xml:space="preserve">the Brassica, allium, </w:t>
      </w:r>
      <w:proofErr w:type="spellStart"/>
      <w:r>
        <w:t>Chenopodia</w:t>
      </w:r>
      <w:proofErr w:type="spellEnd"/>
      <w:r>
        <w:t xml:space="preserve"> </w:t>
      </w:r>
      <w:r w:rsidR="009A6D0B">
        <w:rPr>
          <w:bCs/>
        </w:rPr>
        <w:t>and umbel families</w:t>
      </w:r>
      <w:commentRangeEnd w:id="0"/>
      <w:r w:rsidR="005404B5">
        <w:rPr>
          <w:rStyle w:val="CommentReference"/>
        </w:rPr>
        <w:commentReference w:id="0"/>
      </w:r>
      <w:r>
        <w:t>.  We e</w:t>
      </w:r>
      <w:r w:rsidR="009A6D0B">
        <w:t>xplored</w:t>
      </w:r>
      <w:r>
        <w:t xml:space="preserve"> the potential for inexpens</w:t>
      </w:r>
      <w:r w:rsidR="00F51EC3">
        <w:t xml:space="preserve">ive production of Brassicas </w:t>
      </w:r>
      <w:r w:rsidR="009A6D0B">
        <w:t xml:space="preserve">under low tunnels, and evaluated </w:t>
      </w:r>
      <w:r w:rsidR="005C7D70">
        <w:t xml:space="preserve">the effect of </w:t>
      </w:r>
      <w:r w:rsidR="009A6D0B">
        <w:t>planting date</w:t>
      </w:r>
      <w:r w:rsidR="005C7D70">
        <w:t xml:space="preserve"> on maximizing</w:t>
      </w:r>
      <w:r w:rsidR="009A6D0B">
        <w:t xml:space="preserve"> spring </w:t>
      </w:r>
      <w:r w:rsidR="005C7D70">
        <w:t>yield and quality</w:t>
      </w:r>
      <w:r w:rsidR="009A6D0B">
        <w:t>.</w:t>
      </w:r>
    </w:p>
    <w:p w:rsidR="002C48D1" w:rsidRDefault="002C48D1" w:rsidP="00B43C26">
      <w:pPr>
        <w:outlineLvl w:val="0"/>
        <w:rPr>
          <w:bCs/>
        </w:rPr>
      </w:pPr>
    </w:p>
    <w:p w:rsidR="00B43C26" w:rsidRPr="009A6D0B" w:rsidRDefault="009A6D0B" w:rsidP="00B43C26">
      <w:pPr>
        <w:spacing w:before="80"/>
        <w:rPr>
          <w:b/>
        </w:rPr>
      </w:pPr>
      <w:r w:rsidRPr="009A6D0B">
        <w:rPr>
          <w:b/>
        </w:rPr>
        <w:t>METHODS</w:t>
      </w:r>
    </w:p>
    <w:p w:rsidR="006A6F79" w:rsidRDefault="006A6F79" w:rsidP="00B43C26">
      <w:pPr>
        <w:spacing w:before="80"/>
      </w:pPr>
    </w:p>
    <w:p w:rsidR="00B43C26" w:rsidRPr="006A6F79" w:rsidRDefault="005C7D70" w:rsidP="006A6F79">
      <w:pPr>
        <w:rPr>
          <w:lang w:val="fr-FR"/>
        </w:rPr>
      </w:pPr>
      <w:r>
        <w:t xml:space="preserve">We established 100’ long low tunnels over 5’ raised beds covered with black plastic mulch.  </w:t>
      </w:r>
      <w:commentRangeStart w:id="1"/>
      <w:r>
        <w:t xml:space="preserve">Our hoop system consisted of 10’ </w:t>
      </w:r>
      <w:r w:rsidRPr="002E3340">
        <w:t xml:space="preserve">PVC pipe </w:t>
      </w:r>
      <w:r>
        <w:t xml:space="preserve">bent over </w:t>
      </w:r>
      <w:r w:rsidRPr="002E3340">
        <w:t xml:space="preserve">rebar </w:t>
      </w:r>
      <w:r>
        <w:t xml:space="preserve">spaced </w:t>
      </w:r>
      <w:r w:rsidRPr="002E3340">
        <w:t>2.5’ apart</w:t>
      </w:r>
      <w:r>
        <w:t xml:space="preserve">. </w:t>
      </w:r>
      <w:commentRangeEnd w:id="1"/>
      <w:r w:rsidR="005404B5">
        <w:rPr>
          <w:rStyle w:val="CommentReference"/>
        </w:rPr>
        <w:commentReference w:id="1"/>
      </w:r>
      <w:r w:rsidR="006A6F79">
        <w:t>We tested Siberian Kale (</w:t>
      </w:r>
      <w:r w:rsidR="006A6F79" w:rsidRPr="005A5549">
        <w:rPr>
          <w:i/>
        </w:rPr>
        <w:t xml:space="preserve">Brassica </w:t>
      </w:r>
      <w:proofErr w:type="spellStart"/>
      <w:r w:rsidR="006A6F79" w:rsidRPr="005A5549">
        <w:rPr>
          <w:i/>
        </w:rPr>
        <w:t>napa</w:t>
      </w:r>
      <w:proofErr w:type="spellEnd"/>
      <w:r w:rsidR="006A6F79">
        <w:t xml:space="preserve">), </w:t>
      </w:r>
      <w:proofErr w:type="spellStart"/>
      <w:r w:rsidR="006A6F79">
        <w:rPr>
          <w:lang w:val="fr-FR"/>
        </w:rPr>
        <w:t>Mizuna-Tatsoi-Maruba</w:t>
      </w:r>
      <w:proofErr w:type="spellEnd"/>
      <w:r w:rsidR="006A6F79">
        <w:rPr>
          <w:lang w:val="fr-FR"/>
        </w:rPr>
        <w:t xml:space="preserve"> </w:t>
      </w:r>
      <w:r w:rsidR="006A6F79" w:rsidRPr="005A5549">
        <w:rPr>
          <w:lang w:val="fr-FR"/>
        </w:rPr>
        <w:t>cross</w:t>
      </w:r>
      <w:r w:rsidR="006A6F79">
        <w:rPr>
          <w:lang w:val="fr-FR"/>
        </w:rPr>
        <w:t xml:space="preserve"> (</w:t>
      </w:r>
      <w:proofErr w:type="spellStart"/>
      <w:r w:rsidR="006A6F79" w:rsidRPr="005A5549">
        <w:rPr>
          <w:i/>
          <w:lang w:val="fr-FR"/>
        </w:rPr>
        <w:t>Brassica</w:t>
      </w:r>
      <w:proofErr w:type="spellEnd"/>
      <w:r w:rsidR="006A6F79" w:rsidRPr="005A5549">
        <w:rPr>
          <w:i/>
          <w:lang w:val="fr-FR"/>
        </w:rPr>
        <w:t xml:space="preserve"> </w:t>
      </w:r>
      <w:proofErr w:type="spellStart"/>
      <w:proofErr w:type="gramStart"/>
      <w:r w:rsidR="006A6F79" w:rsidRPr="005A5549">
        <w:rPr>
          <w:i/>
          <w:lang w:val="fr-FR"/>
        </w:rPr>
        <w:t>rapa</w:t>
      </w:r>
      <w:proofErr w:type="spellEnd"/>
      <w:proofErr w:type="gramEnd"/>
      <w:r w:rsidR="006A6F79">
        <w:rPr>
          <w:lang w:val="fr-FR"/>
        </w:rPr>
        <w:t xml:space="preserve">), and </w:t>
      </w:r>
      <w:r w:rsidR="006A6F79" w:rsidRPr="005A5549">
        <w:t>Mixed Mustard greens</w:t>
      </w:r>
      <w:r w:rsidR="006A6F79">
        <w:t xml:space="preserve"> (</w:t>
      </w:r>
      <w:r w:rsidR="006A6F79" w:rsidRPr="005A5549">
        <w:rPr>
          <w:i/>
        </w:rPr>
        <w:t xml:space="preserve">Brassica </w:t>
      </w:r>
      <w:proofErr w:type="spellStart"/>
      <w:r w:rsidR="006A6F79" w:rsidRPr="005A5549">
        <w:rPr>
          <w:i/>
        </w:rPr>
        <w:t>juncea</w:t>
      </w:r>
      <w:proofErr w:type="spellEnd"/>
      <w:r w:rsidR="006A6F79">
        <w:t xml:space="preserve">).  Greens were planted in three intervals:  the first round was seeded August 29 and transplanted September 26, the second round was seeded September 14 and transplanted October 11, </w:t>
      </w:r>
      <w:proofErr w:type="gramStart"/>
      <w:r w:rsidR="006A6F79">
        <w:t>the</w:t>
      </w:r>
      <w:proofErr w:type="gramEnd"/>
      <w:r w:rsidR="006A6F79">
        <w:t xml:space="preserve"> third round was seeded September 26 and transplanted October 19.  </w:t>
      </w:r>
      <w:r w:rsidR="002178E7">
        <w:t xml:space="preserve">A harvest from the first planting was done on November 3.  A </w:t>
      </w:r>
      <w:r w:rsidR="006A6F79">
        <w:t xml:space="preserve">layer of 1.25 </w:t>
      </w:r>
      <w:proofErr w:type="spellStart"/>
      <w:r w:rsidR="006A6F79">
        <w:t>oz</w:t>
      </w:r>
      <w:proofErr w:type="spellEnd"/>
      <w:r w:rsidR="006A6F79">
        <w:t xml:space="preserve"> row cover was applied </w:t>
      </w:r>
      <w:r w:rsidR="002178E7">
        <w:t xml:space="preserve">on November 7, </w:t>
      </w:r>
      <w:r w:rsidR="006A6F79">
        <w:t>around the date of first frost</w:t>
      </w:r>
      <w:r w:rsidR="002178E7">
        <w:t>, and a</w:t>
      </w:r>
      <w:r w:rsidR="006A6F79">
        <w:t xml:space="preserve"> layer of 6 mil Greenhouse</w:t>
      </w:r>
      <w:r w:rsidR="006A6F79" w:rsidRPr="002E3340">
        <w:t xml:space="preserve"> plastic </w:t>
      </w:r>
      <w:r w:rsidR="006A6F79">
        <w:t xml:space="preserve">was </w:t>
      </w:r>
      <w:r w:rsidR="002178E7">
        <w:t>added</w:t>
      </w:r>
      <w:r w:rsidR="006A6F79">
        <w:t xml:space="preserve"> on December 13. Greenhouse plastic and row cover were removed for all trials on March 21.  We harvested Brassicas </w:t>
      </w:r>
      <w:r w:rsidR="002178E7">
        <w:t>for a second time on</w:t>
      </w:r>
      <w:r w:rsidR="006A6F79">
        <w:t xml:space="preserve"> March 21/22, and</w:t>
      </w:r>
      <w:r w:rsidR="002178E7">
        <w:t xml:space="preserve"> a third time</w:t>
      </w:r>
      <w:r w:rsidR="006A6F79">
        <w:t xml:space="preserve"> on </w:t>
      </w:r>
      <w:r w:rsidR="001B3346">
        <w:t xml:space="preserve">April </w:t>
      </w:r>
      <w:r w:rsidR="006A6F79">
        <w:t xml:space="preserve">X.  At times of harvest, we recorded </w:t>
      </w:r>
      <w:r w:rsidR="00B43C26">
        <w:t>% survival, % bolting</w:t>
      </w:r>
      <w:r w:rsidR="00B43C26" w:rsidRPr="002E3340">
        <w:t xml:space="preserve">, </w:t>
      </w:r>
      <w:r w:rsidR="006A6F79">
        <w:t xml:space="preserve">and </w:t>
      </w:r>
      <w:r w:rsidR="00B43C26">
        <w:t>marketable weight</w:t>
      </w:r>
      <w:r w:rsidR="006A6F79">
        <w:t>s</w:t>
      </w:r>
      <w:r w:rsidR="00B43C26">
        <w:t>.</w:t>
      </w:r>
    </w:p>
    <w:p w:rsidR="00A34D63" w:rsidRDefault="00A34D63" w:rsidP="00B43C26"/>
    <w:p w:rsidR="00A34D63" w:rsidRPr="00A34D63" w:rsidRDefault="00A34D63" w:rsidP="00B43C26">
      <w:pPr>
        <w:rPr>
          <w:b/>
        </w:rPr>
      </w:pPr>
      <w:r w:rsidRPr="00A34D63">
        <w:rPr>
          <w:b/>
        </w:rPr>
        <w:t>RESULTS</w:t>
      </w:r>
    </w:p>
    <w:p w:rsidR="005C7D70" w:rsidRDefault="005C7D70"/>
    <w:p w:rsidR="001B3346" w:rsidRDefault="002178E7">
      <w:r>
        <w:t xml:space="preserve">Our </w:t>
      </w:r>
      <w:proofErr w:type="spellStart"/>
      <w:r>
        <w:rPr>
          <w:lang w:val="fr-FR"/>
        </w:rPr>
        <w:t>Mizuna-Tatsoi-Maruba</w:t>
      </w:r>
      <w:proofErr w:type="spellEnd"/>
      <w:r>
        <w:rPr>
          <w:lang w:val="fr-FR"/>
        </w:rPr>
        <w:t xml:space="preserve"> cross </w:t>
      </w:r>
      <w:proofErr w:type="spellStart"/>
      <w:r>
        <w:rPr>
          <w:lang w:val="fr-FR"/>
        </w:rPr>
        <w:t>quickly</w:t>
      </w:r>
      <w:proofErr w:type="spellEnd"/>
      <w:r>
        <w:rPr>
          <w:lang w:val="fr-FR"/>
        </w:rPr>
        <w:t xml:space="preserve"> </w:t>
      </w:r>
      <w:proofErr w:type="spellStart"/>
      <w:r>
        <w:rPr>
          <w:lang w:val="fr-FR"/>
        </w:rPr>
        <w:t>bolted</w:t>
      </w:r>
      <w:proofErr w:type="spellEnd"/>
      <w:r>
        <w:rPr>
          <w:lang w:val="fr-FR"/>
        </w:rPr>
        <w:t xml:space="preserve">, and </w:t>
      </w:r>
      <w:proofErr w:type="spellStart"/>
      <w:r>
        <w:rPr>
          <w:lang w:val="fr-FR"/>
        </w:rPr>
        <w:t>was</w:t>
      </w:r>
      <w:proofErr w:type="spellEnd"/>
      <w:r>
        <w:rPr>
          <w:lang w:val="fr-FR"/>
        </w:rPr>
        <w:t xml:space="preserve"> not </w:t>
      </w:r>
      <w:r w:rsidR="005404B5">
        <w:rPr>
          <w:lang w:val="fr-FR"/>
        </w:rPr>
        <w:t>situable</w:t>
      </w:r>
      <w:r>
        <w:rPr>
          <w:lang w:val="fr-FR"/>
        </w:rPr>
        <w:t xml:space="preserve"> for commercial production, </w:t>
      </w:r>
      <w:proofErr w:type="spellStart"/>
      <w:r>
        <w:rPr>
          <w:lang w:val="fr-FR"/>
        </w:rPr>
        <w:t>so</w:t>
      </w:r>
      <w:proofErr w:type="spellEnd"/>
      <w:r>
        <w:rPr>
          <w:lang w:val="fr-FR"/>
        </w:rPr>
        <w:t xml:space="preserve"> </w:t>
      </w:r>
      <w:proofErr w:type="spellStart"/>
      <w:r>
        <w:rPr>
          <w:lang w:val="fr-FR"/>
        </w:rPr>
        <w:t>we</w:t>
      </w:r>
      <w:proofErr w:type="spellEnd"/>
      <w:r>
        <w:rPr>
          <w:lang w:val="fr-FR"/>
        </w:rPr>
        <w:t xml:space="preserve"> </w:t>
      </w:r>
      <w:proofErr w:type="spellStart"/>
      <w:r>
        <w:rPr>
          <w:lang w:val="fr-FR"/>
        </w:rPr>
        <w:t>focused</w:t>
      </w:r>
      <w:proofErr w:type="spellEnd"/>
      <w:r>
        <w:rPr>
          <w:lang w:val="fr-FR"/>
        </w:rPr>
        <w:t xml:space="preserve"> </w:t>
      </w:r>
      <w:proofErr w:type="spellStart"/>
      <w:r>
        <w:rPr>
          <w:lang w:val="fr-FR"/>
        </w:rPr>
        <w:t>only</w:t>
      </w:r>
      <w:proofErr w:type="spellEnd"/>
      <w:r>
        <w:rPr>
          <w:lang w:val="fr-FR"/>
        </w:rPr>
        <w:t xml:space="preserve"> on production of </w:t>
      </w:r>
      <w:proofErr w:type="spellStart"/>
      <w:r>
        <w:rPr>
          <w:lang w:val="fr-FR"/>
        </w:rPr>
        <w:t>Siberian</w:t>
      </w:r>
      <w:proofErr w:type="spellEnd"/>
      <w:r>
        <w:rPr>
          <w:lang w:val="fr-FR"/>
        </w:rPr>
        <w:t xml:space="preserve"> </w:t>
      </w:r>
      <w:proofErr w:type="spellStart"/>
      <w:r>
        <w:rPr>
          <w:lang w:val="fr-FR"/>
        </w:rPr>
        <w:t>Kale</w:t>
      </w:r>
      <w:proofErr w:type="spellEnd"/>
      <w:r>
        <w:rPr>
          <w:lang w:val="fr-FR"/>
        </w:rPr>
        <w:t xml:space="preserve"> and Mixed </w:t>
      </w:r>
      <w:proofErr w:type="spellStart"/>
      <w:r>
        <w:rPr>
          <w:lang w:val="fr-FR"/>
        </w:rPr>
        <w:t>Mustard</w:t>
      </w:r>
      <w:proofErr w:type="spellEnd"/>
      <w:r>
        <w:rPr>
          <w:lang w:val="fr-FR"/>
        </w:rPr>
        <w:t xml:space="preserve"> greens.  </w:t>
      </w:r>
      <w:r w:rsidR="001844E5">
        <w:t>Survival of overwinter</w:t>
      </w:r>
      <w:r>
        <w:t>ed plants was high</w:t>
      </w:r>
      <w:r w:rsidR="001844E5">
        <w:t xml:space="preserve">, averaging 96% for kale and 92% for mustard.  Survival was high </w:t>
      </w:r>
      <w:r w:rsidR="002C48D1">
        <w:t>across all</w:t>
      </w:r>
      <w:r w:rsidR="001844E5">
        <w:t xml:space="preserve"> planting dates, though slightly lower for the first planting date in mustard (average of 83%).  Due to </w:t>
      </w:r>
      <w:commentRangeStart w:id="2"/>
      <w:r w:rsidR="001844E5">
        <w:t>the long growing season</w:t>
      </w:r>
      <w:commentRangeEnd w:id="2"/>
      <w:r w:rsidR="005404B5">
        <w:rPr>
          <w:rStyle w:val="CommentReference"/>
        </w:rPr>
        <w:commentReference w:id="2"/>
      </w:r>
      <w:r w:rsidR="001844E5">
        <w:t xml:space="preserve">, bolting became an issue by the </w:t>
      </w:r>
      <w:r>
        <w:t>third</w:t>
      </w:r>
      <w:r w:rsidR="001844E5">
        <w:t xml:space="preserve"> harvest.  In kale, about 10% of plants were bolting at the </w:t>
      </w:r>
      <w:r>
        <w:t>second</w:t>
      </w:r>
      <w:r w:rsidR="001844E5">
        <w:t xml:space="preserve"> harvest, and 90% had bolted by the </w:t>
      </w:r>
      <w:r>
        <w:t>third</w:t>
      </w:r>
      <w:r w:rsidR="001844E5">
        <w:t xml:space="preserve">.  In mustard, the numbers were a bit lower, with only 1% bolted at the </w:t>
      </w:r>
      <w:r>
        <w:t>second</w:t>
      </w:r>
      <w:r w:rsidR="001844E5">
        <w:t xml:space="preserve"> harvest, and 39% by the </w:t>
      </w:r>
      <w:r>
        <w:t>third</w:t>
      </w:r>
      <w:r w:rsidR="001844E5">
        <w:t xml:space="preserve">.  </w:t>
      </w:r>
      <w:r w:rsidR="002C48D1">
        <w:t xml:space="preserve">In kale, the early planting dates were the first to bolt, but in mustard, the opposite was true (see Figure 1 </w:t>
      </w:r>
      <w:r w:rsidR="002C48D1">
        <w:lastRenderedPageBreak/>
        <w:t xml:space="preserve">below).  Only 23% of the first round of mustard had bolted by April X, compared to about half of plants from the second and third plantings.  </w:t>
      </w:r>
    </w:p>
    <w:p w:rsidR="001B3346" w:rsidRDefault="001B3346"/>
    <w:p w:rsidR="004B0AAE" w:rsidRPr="004B0AAE" w:rsidRDefault="004B0AAE">
      <w:proofErr w:type="gramStart"/>
      <w:r>
        <w:rPr>
          <w:b/>
        </w:rPr>
        <w:t>Figure 1</w:t>
      </w:r>
      <w:r>
        <w:t>.</w:t>
      </w:r>
      <w:proofErr w:type="gramEnd"/>
      <w:r>
        <w:t xml:space="preserve">  Bolting of kale and mustard limited harvest options later in the season.</w:t>
      </w:r>
    </w:p>
    <w:p w:rsidR="001B3346" w:rsidRDefault="00220C88">
      <w:r>
        <w:rPr>
          <w:noProof/>
        </w:rPr>
        <w:drawing>
          <wp:inline distT="0" distB="0" distL="0" distR="0" wp14:anchorId="538E4A9B" wp14:editId="14D109B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0C88" w:rsidRDefault="00220C88">
      <w:r>
        <w:rPr>
          <w:noProof/>
        </w:rPr>
        <w:drawing>
          <wp:inline distT="0" distB="0" distL="0" distR="0" wp14:anchorId="6CE200A6" wp14:editId="353FC89B">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3C26" w:rsidRDefault="002C48D1">
      <w:r>
        <w:t xml:space="preserve">In both crops, </w:t>
      </w:r>
      <w:r w:rsidR="002178E7">
        <w:t>we harvested from the first planting in late fall, but did not harvest from the later planting dates until spring.  T</w:t>
      </w:r>
      <w:r>
        <w:t>he combined marketable weight from the two</w:t>
      </w:r>
      <w:r w:rsidR="002178E7">
        <w:t xml:space="preserve"> spring</w:t>
      </w:r>
      <w:r>
        <w:t xml:space="preserve"> harvests was</w:t>
      </w:r>
      <w:r w:rsidR="004B0AAE">
        <w:t xml:space="preserve"> </w:t>
      </w:r>
      <w:r>
        <w:t>highest f</w:t>
      </w:r>
      <w:r w:rsidR="0048261B">
        <w:t>or the first planting date</w:t>
      </w:r>
      <w:r>
        <w:t>.</w:t>
      </w:r>
      <w:r w:rsidR="002178E7">
        <w:t xml:space="preserve">   </w:t>
      </w:r>
      <w:r w:rsidR="00956C8F">
        <w:t xml:space="preserve">Overall, this meant that the first planting date (August 29) had much higher </w:t>
      </w:r>
      <w:r w:rsidR="002C171F">
        <w:t xml:space="preserve">production </w:t>
      </w:r>
      <w:r w:rsidR="00956C8F">
        <w:t>of marketable greens than later plantings</w:t>
      </w:r>
      <w:r w:rsidR="0048261B">
        <w:t xml:space="preserve"> (Figure 2)</w:t>
      </w:r>
      <w:r w:rsidR="00956C8F">
        <w:t>.</w:t>
      </w:r>
      <w:r w:rsidR="0048261B">
        <w:t xml:space="preserve">  For kale, the first planting date had a </w:t>
      </w:r>
      <w:r w:rsidR="002C171F">
        <w:t>combined</w:t>
      </w:r>
      <w:r w:rsidR="0048261B">
        <w:t xml:space="preserve"> harvest that was 1.7 times greater than the second planting date, and 2 times greater than the third planting date.  For mustard, the first planting had a total harvest that was 2.3 times greater than the second planting date, and 2.7 times greater than the third.  Since bolting was so high at the third harvest, we did not anticipate it would be possible to get a fourth harvest in for any of the plants, even those planted later in the</w:t>
      </w:r>
      <w:r w:rsidR="002C171F">
        <w:t xml:space="preserve"> season.  This suggests that if </w:t>
      </w:r>
      <w:r w:rsidR="0048261B">
        <w:t xml:space="preserve">you do </w:t>
      </w:r>
      <w:r w:rsidR="0048261B">
        <w:lastRenderedPageBreak/>
        <w:t xml:space="preserve">choose to plant in the fall, planting earlier will generate greater yield, even </w:t>
      </w:r>
      <w:r w:rsidR="002C171F">
        <w:t>if in some cases it leads to</w:t>
      </w:r>
      <w:r w:rsidR="0048261B">
        <w:t xml:space="preserve"> higher rates of bolting in the spring.</w:t>
      </w:r>
    </w:p>
    <w:p w:rsidR="004B0AAE" w:rsidRDefault="004B0AAE"/>
    <w:p w:rsidR="004B0AAE" w:rsidRPr="004B0AAE" w:rsidRDefault="004B0AAE">
      <w:proofErr w:type="gramStart"/>
      <w:r>
        <w:rPr>
          <w:b/>
        </w:rPr>
        <w:t>Figure 2</w:t>
      </w:r>
      <w:r>
        <w:t>.</w:t>
      </w:r>
      <w:proofErr w:type="gramEnd"/>
      <w:r>
        <w:t xml:space="preserve">  Total harvest was highest for the first planting date in both kale and mustard.</w:t>
      </w:r>
      <w:bookmarkStart w:id="3" w:name="_GoBack"/>
      <w:bookmarkEnd w:id="3"/>
    </w:p>
    <w:p w:rsidR="001B3346" w:rsidRDefault="001B3346"/>
    <w:p w:rsidR="00220C88" w:rsidRDefault="00220C88">
      <w:r>
        <w:rPr>
          <w:noProof/>
        </w:rPr>
        <w:drawing>
          <wp:inline distT="0" distB="0" distL="0" distR="0" wp14:anchorId="71543C38" wp14:editId="4797362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0C88" w:rsidRDefault="00220C88">
      <w:r>
        <w:rPr>
          <w:noProof/>
        </w:rPr>
        <w:drawing>
          <wp:inline distT="0" distB="0" distL="0" distR="0" wp14:anchorId="1E473C14" wp14:editId="2DD892AC">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3346" w:rsidRDefault="001B3346"/>
    <w:sectPr w:rsidR="001B3346" w:rsidSect="00A34D63">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y Cavanagh" w:date="2012-05-21T10:01:00Z" w:initials="AC">
    <w:p w:rsidR="005404B5" w:rsidRDefault="005404B5">
      <w:pPr>
        <w:pStyle w:val="CommentText"/>
      </w:pPr>
      <w:r>
        <w:rPr>
          <w:rStyle w:val="CommentReference"/>
        </w:rPr>
        <w:annotationRef/>
      </w:r>
      <w:r>
        <w:t>Are families cap?</w:t>
      </w:r>
    </w:p>
  </w:comment>
  <w:comment w:id="1" w:author="Andy Cavanagh" w:date="2012-05-21T10:01:00Z" w:initials="AC">
    <w:p w:rsidR="005404B5" w:rsidRDefault="005404B5">
      <w:pPr>
        <w:pStyle w:val="CommentText"/>
      </w:pPr>
      <w:r>
        <w:rPr>
          <w:rStyle w:val="CommentReference"/>
        </w:rPr>
        <w:annotationRef/>
      </w:r>
      <w:r>
        <w:t xml:space="preserve">This was not the tunnel design….not sure exactly what was. It was made out of metal electrical conduit – not sure of spacing – not sure how bent – maybe </w:t>
      </w:r>
      <w:proofErr w:type="spellStart"/>
      <w:r>
        <w:t>johnny’s</w:t>
      </w:r>
      <w:proofErr w:type="spellEnd"/>
      <w:r>
        <w:t xml:space="preserve"> low tunnel bender/</w:t>
      </w:r>
    </w:p>
  </w:comment>
  <w:comment w:id="2" w:author="Andy Cavanagh" w:date="2012-05-21T10:03:00Z" w:initials="AC">
    <w:p w:rsidR="005404B5" w:rsidRDefault="005404B5">
      <w:pPr>
        <w:pStyle w:val="CommentText"/>
      </w:pPr>
      <w:r>
        <w:rPr>
          <w:rStyle w:val="CommentReference"/>
        </w:rPr>
        <w:annotationRef/>
      </w:r>
      <w:r>
        <w:t>Warm winter temps?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425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48557C"/>
    <w:multiLevelType w:val="hybridMultilevel"/>
    <w:tmpl w:val="AD96EF28"/>
    <w:lvl w:ilvl="0" w:tplc="3C8E5D14">
      <w:start w:val="1"/>
      <w:numFmt w:val="decimal"/>
      <w:lvlText w:val="%1."/>
      <w:lvlJc w:val="left"/>
      <w:pPr>
        <w:tabs>
          <w:tab w:val="num" w:pos="1440"/>
        </w:tabs>
        <w:ind w:left="144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B695E"/>
    <w:multiLevelType w:val="hybridMultilevel"/>
    <w:tmpl w:val="08E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7B29D4"/>
    <w:multiLevelType w:val="hybridMultilevel"/>
    <w:tmpl w:val="F8FC5ECA"/>
    <w:lvl w:ilvl="0" w:tplc="3C8E5D1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3747050"/>
    <w:multiLevelType w:val="hybridMultilevel"/>
    <w:tmpl w:val="C3867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36E04"/>
    <w:multiLevelType w:val="hybridMultilevel"/>
    <w:tmpl w:val="8AEA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26"/>
    <w:rsid w:val="0002166B"/>
    <w:rsid w:val="001844E5"/>
    <w:rsid w:val="001B3346"/>
    <w:rsid w:val="002178E7"/>
    <w:rsid w:val="00220C88"/>
    <w:rsid w:val="002C171F"/>
    <w:rsid w:val="002C48D1"/>
    <w:rsid w:val="0048261B"/>
    <w:rsid w:val="004B0AAE"/>
    <w:rsid w:val="005404B5"/>
    <w:rsid w:val="005C7D70"/>
    <w:rsid w:val="006106F3"/>
    <w:rsid w:val="006A6F79"/>
    <w:rsid w:val="00956C8F"/>
    <w:rsid w:val="009A6D0B"/>
    <w:rsid w:val="00A34D63"/>
    <w:rsid w:val="00B43C26"/>
    <w:rsid w:val="00F51EC3"/>
    <w:rsid w:val="00F65895"/>
    <w:rsid w:val="00FA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26"/>
    <w:rPr>
      <w:rFonts w:ascii="Tahoma" w:hAnsi="Tahoma" w:cs="Tahoma"/>
      <w:sz w:val="16"/>
      <w:szCs w:val="16"/>
    </w:rPr>
  </w:style>
  <w:style w:type="character" w:customStyle="1" w:styleId="BalloonTextChar">
    <w:name w:val="Balloon Text Char"/>
    <w:basedOn w:val="DefaultParagraphFont"/>
    <w:link w:val="BalloonText"/>
    <w:uiPriority w:val="99"/>
    <w:semiHidden/>
    <w:rsid w:val="00B43C26"/>
    <w:rPr>
      <w:rFonts w:ascii="Tahoma" w:eastAsia="Times New Roman" w:hAnsi="Tahoma" w:cs="Tahoma"/>
      <w:sz w:val="16"/>
      <w:szCs w:val="16"/>
    </w:rPr>
  </w:style>
  <w:style w:type="paragraph" w:styleId="ListBullet">
    <w:name w:val="List Bullet"/>
    <w:basedOn w:val="Normal"/>
    <w:uiPriority w:val="99"/>
    <w:unhideWhenUsed/>
    <w:rsid w:val="00B43C26"/>
    <w:pPr>
      <w:numPr>
        <w:numId w:val="6"/>
      </w:numPr>
      <w:spacing w:after="200" w:line="276" w:lineRule="auto"/>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04B5"/>
    <w:rPr>
      <w:sz w:val="16"/>
      <w:szCs w:val="16"/>
    </w:rPr>
  </w:style>
  <w:style w:type="paragraph" w:styleId="CommentText">
    <w:name w:val="annotation text"/>
    <w:basedOn w:val="Normal"/>
    <w:link w:val="CommentTextChar"/>
    <w:uiPriority w:val="99"/>
    <w:semiHidden/>
    <w:unhideWhenUsed/>
    <w:rsid w:val="005404B5"/>
    <w:rPr>
      <w:sz w:val="20"/>
      <w:szCs w:val="20"/>
    </w:rPr>
  </w:style>
  <w:style w:type="character" w:customStyle="1" w:styleId="CommentTextChar">
    <w:name w:val="Comment Text Char"/>
    <w:basedOn w:val="DefaultParagraphFont"/>
    <w:link w:val="CommentText"/>
    <w:uiPriority w:val="99"/>
    <w:semiHidden/>
    <w:rsid w:val="00540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4B5"/>
    <w:rPr>
      <w:b/>
      <w:bCs/>
    </w:rPr>
  </w:style>
  <w:style w:type="character" w:customStyle="1" w:styleId="CommentSubjectChar">
    <w:name w:val="Comment Subject Char"/>
    <w:basedOn w:val="CommentTextChar"/>
    <w:link w:val="CommentSubject"/>
    <w:uiPriority w:val="99"/>
    <w:semiHidden/>
    <w:rsid w:val="005404B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26"/>
    <w:rPr>
      <w:rFonts w:ascii="Tahoma" w:hAnsi="Tahoma" w:cs="Tahoma"/>
      <w:sz w:val="16"/>
      <w:szCs w:val="16"/>
    </w:rPr>
  </w:style>
  <w:style w:type="character" w:customStyle="1" w:styleId="BalloonTextChar">
    <w:name w:val="Balloon Text Char"/>
    <w:basedOn w:val="DefaultParagraphFont"/>
    <w:link w:val="BalloonText"/>
    <w:uiPriority w:val="99"/>
    <w:semiHidden/>
    <w:rsid w:val="00B43C26"/>
    <w:rPr>
      <w:rFonts w:ascii="Tahoma" w:eastAsia="Times New Roman" w:hAnsi="Tahoma" w:cs="Tahoma"/>
      <w:sz w:val="16"/>
      <w:szCs w:val="16"/>
    </w:rPr>
  </w:style>
  <w:style w:type="paragraph" w:styleId="ListBullet">
    <w:name w:val="List Bullet"/>
    <w:basedOn w:val="Normal"/>
    <w:uiPriority w:val="99"/>
    <w:unhideWhenUsed/>
    <w:rsid w:val="00B43C26"/>
    <w:pPr>
      <w:numPr>
        <w:numId w:val="6"/>
      </w:numPr>
      <w:spacing w:after="200" w:line="276" w:lineRule="auto"/>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04B5"/>
    <w:rPr>
      <w:sz w:val="16"/>
      <w:szCs w:val="16"/>
    </w:rPr>
  </w:style>
  <w:style w:type="paragraph" w:styleId="CommentText">
    <w:name w:val="annotation text"/>
    <w:basedOn w:val="Normal"/>
    <w:link w:val="CommentTextChar"/>
    <w:uiPriority w:val="99"/>
    <w:semiHidden/>
    <w:unhideWhenUsed/>
    <w:rsid w:val="005404B5"/>
    <w:rPr>
      <w:sz w:val="20"/>
      <w:szCs w:val="20"/>
    </w:rPr>
  </w:style>
  <w:style w:type="character" w:customStyle="1" w:styleId="CommentTextChar">
    <w:name w:val="Comment Text Char"/>
    <w:basedOn w:val="DefaultParagraphFont"/>
    <w:link w:val="CommentText"/>
    <w:uiPriority w:val="99"/>
    <w:semiHidden/>
    <w:rsid w:val="00540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4B5"/>
    <w:rPr>
      <w:b/>
      <w:bCs/>
    </w:rPr>
  </w:style>
  <w:style w:type="character" w:customStyle="1" w:styleId="CommentSubjectChar">
    <w:name w:val="Comment Subject Char"/>
    <w:basedOn w:val="CommentTextChar"/>
    <w:link w:val="CommentSubject"/>
    <w:uiPriority w:val="99"/>
    <w:semiHidden/>
    <w:rsid w:val="005404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umaoitwshare\winshare\vegipm\common\Winter%20SARE%20Project\low%20tunnels\Spring%202012%20data\Low%20Tunnels%20Brassica%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maoitwshare\winshare\vegipm\common\Winter%20SARE%20Project\low%20tunnels\Spring%202012%20data\Low%20Tunnels%20Brassica%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maoitwshare\winshare\vegipm\common\Winter%20SARE%20Project\low%20tunnels\Spring%202012%20data\Low%20Tunnels%20Brassica%20dat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maoitwshare\winshare\vegipm\common\Winter%20SARE%20Project\low%20tunnels\Spring%202012%20data\Low%20Tunnels%20Brassica%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Kale</a:t>
            </a:r>
          </a:p>
        </c:rich>
      </c:tx>
      <c:layout/>
      <c:overlay val="0"/>
    </c:title>
    <c:autoTitleDeleted val="0"/>
    <c:plotArea>
      <c:layout/>
      <c:barChart>
        <c:barDir val="col"/>
        <c:grouping val="clustered"/>
        <c:varyColors val="0"/>
        <c:ser>
          <c:idx val="0"/>
          <c:order val="0"/>
          <c:tx>
            <c:v>Harvest 2</c:v>
          </c:tx>
          <c:invertIfNegative val="0"/>
          <c:errBars>
            <c:errBarType val="both"/>
            <c:errValType val="cust"/>
            <c:noEndCap val="0"/>
            <c:plus>
              <c:numRef>
                <c:f>Analysis!$G$65:$G$67</c:f>
                <c:numCache>
                  <c:formatCode>General</c:formatCode>
                  <c:ptCount val="3"/>
                  <c:pt idx="0">
                    <c:v>6.9402209378856714</c:v>
                  </c:pt>
                  <c:pt idx="1">
                    <c:v>4.4229515032385329</c:v>
                  </c:pt>
                  <c:pt idx="2">
                    <c:v>3.25</c:v>
                  </c:pt>
                </c:numCache>
              </c:numRef>
            </c:plus>
            <c:minus>
              <c:numRef>
                <c:f>Analysis!$G$65:$G$67</c:f>
                <c:numCache>
                  <c:formatCode>General</c:formatCode>
                  <c:ptCount val="3"/>
                  <c:pt idx="0">
                    <c:v>6.9402209378856714</c:v>
                  </c:pt>
                  <c:pt idx="1">
                    <c:v>4.4229515032385329</c:v>
                  </c:pt>
                  <c:pt idx="2">
                    <c:v>3.25</c:v>
                  </c:pt>
                </c:numCache>
              </c:numRef>
            </c:minus>
          </c:errBars>
          <c:cat>
            <c:strRef>
              <c:f>Analysis!$B$92:$B$94</c:f>
              <c:strCache>
                <c:ptCount val="3"/>
                <c:pt idx="0">
                  <c:v>August 29</c:v>
                </c:pt>
                <c:pt idx="1">
                  <c:v>September 14</c:v>
                </c:pt>
                <c:pt idx="2">
                  <c:v>September 26</c:v>
                </c:pt>
              </c:strCache>
            </c:strRef>
          </c:cat>
          <c:val>
            <c:numRef>
              <c:f>Analysis!$D$65:$D$67</c:f>
              <c:numCache>
                <c:formatCode>General</c:formatCode>
                <c:ptCount val="3"/>
                <c:pt idx="0">
                  <c:v>18</c:v>
                </c:pt>
                <c:pt idx="1">
                  <c:v>7.25</c:v>
                </c:pt>
                <c:pt idx="2">
                  <c:v>3.25</c:v>
                </c:pt>
              </c:numCache>
            </c:numRef>
          </c:val>
        </c:ser>
        <c:ser>
          <c:idx val="1"/>
          <c:order val="1"/>
          <c:tx>
            <c:v>Harvest 3</c:v>
          </c:tx>
          <c:invertIfNegative val="0"/>
          <c:errBars>
            <c:errBarType val="both"/>
            <c:errValType val="cust"/>
            <c:noEndCap val="0"/>
            <c:plus>
              <c:numRef>
                <c:f>Analysis!$G$68:$G$70</c:f>
                <c:numCache>
                  <c:formatCode>General</c:formatCode>
                  <c:ptCount val="3"/>
                  <c:pt idx="0">
                    <c:v>3.25</c:v>
                  </c:pt>
                  <c:pt idx="1">
                    <c:v>4.0824829046386304</c:v>
                  </c:pt>
                  <c:pt idx="2">
                    <c:v>7.330018190063833</c:v>
                  </c:pt>
                </c:numCache>
              </c:numRef>
            </c:plus>
            <c:minus>
              <c:numRef>
                <c:f>Analysis!$G$68:$G$70</c:f>
                <c:numCache>
                  <c:formatCode>General</c:formatCode>
                  <c:ptCount val="3"/>
                  <c:pt idx="0">
                    <c:v>3.25</c:v>
                  </c:pt>
                  <c:pt idx="1">
                    <c:v>4.0824829046386304</c:v>
                  </c:pt>
                  <c:pt idx="2">
                    <c:v>7.330018190063833</c:v>
                  </c:pt>
                </c:numCache>
              </c:numRef>
            </c:minus>
          </c:errBars>
          <c:cat>
            <c:strRef>
              <c:f>Analysis!$B$92:$B$94</c:f>
              <c:strCache>
                <c:ptCount val="3"/>
                <c:pt idx="0">
                  <c:v>August 29</c:v>
                </c:pt>
                <c:pt idx="1">
                  <c:v>September 14</c:v>
                </c:pt>
                <c:pt idx="2">
                  <c:v>September 26</c:v>
                </c:pt>
              </c:strCache>
            </c:strRef>
          </c:cat>
          <c:val>
            <c:numRef>
              <c:f>Analysis!$D$68:$D$70</c:f>
              <c:numCache>
                <c:formatCode>General</c:formatCode>
                <c:ptCount val="3"/>
                <c:pt idx="0">
                  <c:v>96.75</c:v>
                </c:pt>
                <c:pt idx="1">
                  <c:v>90</c:v>
                </c:pt>
                <c:pt idx="2">
                  <c:v>83.25</c:v>
                </c:pt>
              </c:numCache>
            </c:numRef>
          </c:val>
        </c:ser>
        <c:dLbls>
          <c:showLegendKey val="0"/>
          <c:showVal val="0"/>
          <c:showCatName val="0"/>
          <c:showSerName val="0"/>
          <c:showPercent val="0"/>
          <c:showBubbleSize val="0"/>
        </c:dLbls>
        <c:gapWidth val="150"/>
        <c:axId val="85820544"/>
        <c:axId val="85822464"/>
      </c:barChart>
      <c:catAx>
        <c:axId val="85820544"/>
        <c:scaling>
          <c:orientation val="minMax"/>
        </c:scaling>
        <c:delete val="0"/>
        <c:axPos val="b"/>
        <c:title>
          <c:tx>
            <c:rich>
              <a:bodyPr/>
              <a:lstStyle/>
              <a:p>
                <a:pPr>
                  <a:defRPr/>
                </a:pPr>
                <a:r>
                  <a:rPr lang="en-US"/>
                  <a:t>Plant Date</a:t>
                </a:r>
              </a:p>
            </c:rich>
          </c:tx>
          <c:layout/>
          <c:overlay val="0"/>
        </c:title>
        <c:numFmt formatCode="General" sourceLinked="1"/>
        <c:majorTickMark val="out"/>
        <c:minorTickMark val="none"/>
        <c:tickLblPos val="nextTo"/>
        <c:crossAx val="85822464"/>
        <c:crosses val="autoZero"/>
        <c:auto val="1"/>
        <c:lblAlgn val="ctr"/>
        <c:lblOffset val="100"/>
        <c:noMultiLvlLbl val="0"/>
      </c:catAx>
      <c:valAx>
        <c:axId val="85822464"/>
        <c:scaling>
          <c:orientation val="minMax"/>
          <c:max val="100"/>
          <c:min val="0"/>
        </c:scaling>
        <c:delete val="0"/>
        <c:axPos val="l"/>
        <c:majorGridlines/>
        <c:title>
          <c:tx>
            <c:rich>
              <a:bodyPr rot="-5400000" vert="horz"/>
              <a:lstStyle/>
              <a:p>
                <a:pPr>
                  <a:defRPr/>
                </a:pPr>
                <a:r>
                  <a:rPr lang="en-US"/>
                  <a:t>% Bolting</a:t>
                </a:r>
              </a:p>
            </c:rich>
          </c:tx>
          <c:layout/>
          <c:overlay val="0"/>
        </c:title>
        <c:numFmt formatCode="General" sourceLinked="1"/>
        <c:majorTickMark val="out"/>
        <c:minorTickMark val="none"/>
        <c:tickLblPos val="nextTo"/>
        <c:crossAx val="85820544"/>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Mustard</a:t>
            </a:r>
          </a:p>
        </c:rich>
      </c:tx>
      <c:layout/>
      <c:overlay val="0"/>
    </c:title>
    <c:autoTitleDeleted val="0"/>
    <c:plotArea>
      <c:layout/>
      <c:barChart>
        <c:barDir val="col"/>
        <c:grouping val="clustered"/>
        <c:varyColors val="0"/>
        <c:ser>
          <c:idx val="0"/>
          <c:order val="0"/>
          <c:tx>
            <c:v>Harvest 2</c:v>
          </c:tx>
          <c:invertIfNegative val="0"/>
          <c:errBars>
            <c:errBarType val="both"/>
            <c:errValType val="cust"/>
            <c:noEndCap val="0"/>
            <c:plus>
              <c:numRef>
                <c:f>Analysis!$G$82:$G$84</c:f>
                <c:numCache>
                  <c:formatCode>General</c:formatCode>
                  <c:ptCount val="3"/>
                  <c:pt idx="0">
                    <c:v>3.473110997362451</c:v>
                  </c:pt>
                  <c:pt idx="1">
                    <c:v>1.1547005383792515</c:v>
                  </c:pt>
                  <c:pt idx="2">
                    <c:v>1</c:v>
                  </c:pt>
                </c:numCache>
              </c:numRef>
            </c:plus>
            <c:minus>
              <c:numRef>
                <c:f>Analysis!$G$82:$G$84</c:f>
                <c:numCache>
                  <c:formatCode>General</c:formatCode>
                  <c:ptCount val="3"/>
                  <c:pt idx="0">
                    <c:v>3.473110997362451</c:v>
                  </c:pt>
                  <c:pt idx="1">
                    <c:v>1.1547005383792515</c:v>
                  </c:pt>
                  <c:pt idx="2">
                    <c:v>1</c:v>
                  </c:pt>
                </c:numCache>
              </c:numRef>
            </c:minus>
          </c:errBars>
          <c:cat>
            <c:strRef>
              <c:f>Analysis!$B$92:$B$94</c:f>
              <c:strCache>
                <c:ptCount val="3"/>
                <c:pt idx="0">
                  <c:v>August 29</c:v>
                </c:pt>
                <c:pt idx="1">
                  <c:v>September 14</c:v>
                </c:pt>
                <c:pt idx="2">
                  <c:v>September 26</c:v>
                </c:pt>
              </c:strCache>
            </c:strRef>
          </c:cat>
          <c:val>
            <c:numRef>
              <c:f>Analysis!$D$82:$D$84</c:f>
              <c:numCache>
                <c:formatCode>General</c:formatCode>
                <c:ptCount val="3"/>
                <c:pt idx="0">
                  <c:v>2.25</c:v>
                </c:pt>
                <c:pt idx="1">
                  <c:v>1.5</c:v>
                </c:pt>
                <c:pt idx="2">
                  <c:v>0</c:v>
                </c:pt>
              </c:numCache>
            </c:numRef>
          </c:val>
        </c:ser>
        <c:ser>
          <c:idx val="1"/>
          <c:order val="1"/>
          <c:tx>
            <c:v>Harvest 3</c:v>
          </c:tx>
          <c:invertIfNegative val="0"/>
          <c:errBars>
            <c:errBarType val="both"/>
            <c:errValType val="cust"/>
            <c:noEndCap val="0"/>
            <c:plus>
              <c:numRef>
                <c:f>Analysis!$G$85:$G$87</c:f>
                <c:numCache>
                  <c:formatCode>General</c:formatCode>
                  <c:ptCount val="3"/>
                  <c:pt idx="0">
                    <c:v>7.7082207198981179</c:v>
                  </c:pt>
                  <c:pt idx="1">
                    <c:v>2.0207259421636903</c:v>
                  </c:pt>
                  <c:pt idx="2">
                    <c:v>1.4361406616345072</c:v>
                  </c:pt>
                </c:numCache>
              </c:numRef>
            </c:plus>
            <c:minus>
              <c:numRef>
                <c:f>Analysis!$G$85:$G$87</c:f>
                <c:numCache>
                  <c:formatCode>General</c:formatCode>
                  <c:ptCount val="3"/>
                  <c:pt idx="0">
                    <c:v>7.7082207198981179</c:v>
                  </c:pt>
                  <c:pt idx="1">
                    <c:v>2.0207259421636903</c:v>
                  </c:pt>
                  <c:pt idx="2">
                    <c:v>1.4361406616345072</c:v>
                  </c:pt>
                </c:numCache>
              </c:numRef>
            </c:minus>
          </c:errBars>
          <c:cat>
            <c:strRef>
              <c:f>Analysis!$B$92:$B$94</c:f>
              <c:strCache>
                <c:ptCount val="3"/>
                <c:pt idx="0">
                  <c:v>August 29</c:v>
                </c:pt>
                <c:pt idx="1">
                  <c:v>September 14</c:v>
                </c:pt>
                <c:pt idx="2">
                  <c:v>September 26</c:v>
                </c:pt>
              </c:strCache>
            </c:strRef>
          </c:cat>
          <c:val>
            <c:numRef>
              <c:f>Analysis!$D$85:$D$87</c:f>
              <c:numCache>
                <c:formatCode>General</c:formatCode>
                <c:ptCount val="3"/>
                <c:pt idx="0">
                  <c:v>22.5</c:v>
                </c:pt>
                <c:pt idx="1">
                  <c:v>46.75</c:v>
                </c:pt>
                <c:pt idx="2">
                  <c:v>48.25</c:v>
                </c:pt>
              </c:numCache>
            </c:numRef>
          </c:val>
        </c:ser>
        <c:dLbls>
          <c:showLegendKey val="0"/>
          <c:showVal val="0"/>
          <c:showCatName val="0"/>
          <c:showSerName val="0"/>
          <c:showPercent val="0"/>
          <c:showBubbleSize val="0"/>
        </c:dLbls>
        <c:gapWidth val="150"/>
        <c:axId val="85840640"/>
        <c:axId val="85842560"/>
      </c:barChart>
      <c:catAx>
        <c:axId val="85840640"/>
        <c:scaling>
          <c:orientation val="minMax"/>
        </c:scaling>
        <c:delete val="0"/>
        <c:axPos val="b"/>
        <c:title>
          <c:tx>
            <c:rich>
              <a:bodyPr/>
              <a:lstStyle/>
              <a:p>
                <a:pPr>
                  <a:defRPr/>
                </a:pPr>
                <a:r>
                  <a:rPr lang="en-US"/>
                  <a:t>Plant Date</a:t>
                </a:r>
              </a:p>
            </c:rich>
          </c:tx>
          <c:layout/>
          <c:overlay val="0"/>
        </c:title>
        <c:numFmt formatCode="General" sourceLinked="1"/>
        <c:majorTickMark val="out"/>
        <c:minorTickMark val="none"/>
        <c:tickLblPos val="nextTo"/>
        <c:crossAx val="85842560"/>
        <c:crosses val="autoZero"/>
        <c:auto val="1"/>
        <c:lblAlgn val="ctr"/>
        <c:lblOffset val="100"/>
        <c:noMultiLvlLbl val="0"/>
      </c:catAx>
      <c:valAx>
        <c:axId val="85842560"/>
        <c:scaling>
          <c:orientation val="minMax"/>
          <c:max val="100"/>
          <c:min val="0"/>
        </c:scaling>
        <c:delete val="0"/>
        <c:axPos val="l"/>
        <c:majorGridlines/>
        <c:title>
          <c:tx>
            <c:rich>
              <a:bodyPr rot="-5400000" vert="horz"/>
              <a:lstStyle/>
              <a:p>
                <a:pPr>
                  <a:defRPr/>
                </a:pPr>
                <a:r>
                  <a:rPr lang="en-US"/>
                  <a:t>% Bolting</a:t>
                </a:r>
              </a:p>
            </c:rich>
          </c:tx>
          <c:layout/>
          <c:overlay val="0"/>
        </c:title>
        <c:numFmt formatCode="General" sourceLinked="1"/>
        <c:majorTickMark val="out"/>
        <c:minorTickMark val="none"/>
        <c:tickLblPos val="nextTo"/>
        <c:crossAx val="8584064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Kale</a:t>
            </a:r>
          </a:p>
        </c:rich>
      </c:tx>
      <c:layout/>
      <c:overlay val="0"/>
    </c:title>
    <c:autoTitleDeleted val="0"/>
    <c:plotArea>
      <c:layout/>
      <c:barChart>
        <c:barDir val="col"/>
        <c:grouping val="clustered"/>
        <c:varyColors val="0"/>
        <c:ser>
          <c:idx val="2"/>
          <c:order val="0"/>
          <c:tx>
            <c:v>Harvest 1</c:v>
          </c:tx>
          <c:invertIfNegative val="0"/>
          <c:errBars>
            <c:errBarType val="both"/>
            <c:errValType val="cust"/>
            <c:noEndCap val="0"/>
            <c:plus>
              <c:numRef>
                <c:f>Analysis!$G$112:$G$114</c:f>
                <c:numCache>
                  <c:formatCode>General</c:formatCode>
                  <c:ptCount val="3"/>
                  <c:pt idx="0">
                    <c:v>4.0926763859362252</c:v>
                  </c:pt>
                  <c:pt idx="1">
                    <c:v>0</c:v>
                  </c:pt>
                  <c:pt idx="2">
                    <c:v>0</c:v>
                  </c:pt>
                </c:numCache>
              </c:numRef>
            </c:plus>
            <c:minus>
              <c:numRef>
                <c:f>Analysis!$G$112:$G$114</c:f>
                <c:numCache>
                  <c:formatCode>General</c:formatCode>
                  <c:ptCount val="3"/>
                  <c:pt idx="0">
                    <c:v>4.0926763859362252</c:v>
                  </c:pt>
                  <c:pt idx="1">
                    <c:v>0</c:v>
                  </c:pt>
                  <c:pt idx="2">
                    <c:v>0</c:v>
                  </c:pt>
                </c:numCache>
              </c:numRef>
            </c:minus>
          </c:errBars>
          <c:cat>
            <c:strRef>
              <c:f>Analysis!$B$92:$B$94</c:f>
              <c:strCache>
                <c:ptCount val="3"/>
                <c:pt idx="0">
                  <c:v>August 29</c:v>
                </c:pt>
                <c:pt idx="1">
                  <c:v>September 14</c:v>
                </c:pt>
                <c:pt idx="2">
                  <c:v>September 26</c:v>
                </c:pt>
              </c:strCache>
            </c:strRef>
          </c:cat>
          <c:val>
            <c:numRef>
              <c:f>Analysis!$D$112:$D$114</c:f>
              <c:numCache>
                <c:formatCode>General</c:formatCode>
                <c:ptCount val="3"/>
                <c:pt idx="0">
                  <c:v>11.5</c:v>
                </c:pt>
                <c:pt idx="1">
                  <c:v>0</c:v>
                </c:pt>
                <c:pt idx="2">
                  <c:v>0</c:v>
                </c:pt>
              </c:numCache>
            </c:numRef>
          </c:val>
        </c:ser>
        <c:ser>
          <c:idx val="0"/>
          <c:order val="1"/>
          <c:tx>
            <c:v>Harvest 2</c:v>
          </c:tx>
          <c:invertIfNegative val="0"/>
          <c:errBars>
            <c:errBarType val="both"/>
            <c:errValType val="cust"/>
            <c:noEndCap val="0"/>
            <c:plus>
              <c:numRef>
                <c:f>Analysis!$G$104:$G$106</c:f>
                <c:numCache>
                  <c:formatCode>General</c:formatCode>
                  <c:ptCount val="3"/>
                  <c:pt idx="0">
                    <c:v>6.9402209378856714</c:v>
                  </c:pt>
                  <c:pt idx="1">
                    <c:v>4.4229515032385329</c:v>
                  </c:pt>
                  <c:pt idx="2">
                    <c:v>3.25</c:v>
                  </c:pt>
                </c:numCache>
              </c:numRef>
            </c:plus>
            <c:minus>
              <c:numRef>
                <c:f>Analysis!$G$104:$G$106</c:f>
                <c:numCache>
                  <c:formatCode>General</c:formatCode>
                  <c:ptCount val="3"/>
                  <c:pt idx="0">
                    <c:v>6.9402209378856714</c:v>
                  </c:pt>
                  <c:pt idx="1">
                    <c:v>4.4229515032385329</c:v>
                  </c:pt>
                  <c:pt idx="2">
                    <c:v>3.25</c:v>
                  </c:pt>
                </c:numCache>
              </c:numRef>
            </c:minus>
          </c:errBars>
          <c:cat>
            <c:strRef>
              <c:f>Analysis!$B$92:$B$94</c:f>
              <c:strCache>
                <c:ptCount val="3"/>
                <c:pt idx="0">
                  <c:v>August 29</c:v>
                </c:pt>
                <c:pt idx="1">
                  <c:v>September 14</c:v>
                </c:pt>
                <c:pt idx="2">
                  <c:v>September 26</c:v>
                </c:pt>
              </c:strCache>
            </c:strRef>
          </c:cat>
          <c:val>
            <c:numRef>
              <c:f>Analysis!$D$104:$D$106</c:f>
              <c:numCache>
                <c:formatCode>General</c:formatCode>
                <c:ptCount val="3"/>
                <c:pt idx="0">
                  <c:v>26</c:v>
                </c:pt>
                <c:pt idx="1">
                  <c:v>15.75</c:v>
                </c:pt>
                <c:pt idx="2">
                  <c:v>13</c:v>
                </c:pt>
              </c:numCache>
            </c:numRef>
          </c:val>
        </c:ser>
        <c:ser>
          <c:idx val="1"/>
          <c:order val="2"/>
          <c:tx>
            <c:v>Harvest 3</c:v>
          </c:tx>
          <c:invertIfNegative val="0"/>
          <c:errBars>
            <c:errBarType val="both"/>
            <c:errValType val="cust"/>
            <c:noEndCap val="0"/>
            <c:plus>
              <c:numRef>
                <c:f>Analysis!$G$107:$G$109</c:f>
                <c:numCache>
                  <c:formatCode>General</c:formatCode>
                  <c:ptCount val="3"/>
                  <c:pt idx="0">
                    <c:v>3.25</c:v>
                  </c:pt>
                  <c:pt idx="1">
                    <c:v>4.0824829046386304</c:v>
                  </c:pt>
                  <c:pt idx="2">
                    <c:v>7.330018190063833</c:v>
                  </c:pt>
                </c:numCache>
              </c:numRef>
            </c:plus>
            <c:minus>
              <c:numRef>
                <c:f>Analysis!$G$107:$G$109</c:f>
                <c:numCache>
                  <c:formatCode>General</c:formatCode>
                  <c:ptCount val="3"/>
                  <c:pt idx="0">
                    <c:v>3.25</c:v>
                  </c:pt>
                  <c:pt idx="1">
                    <c:v>4.0824829046386304</c:v>
                  </c:pt>
                  <c:pt idx="2">
                    <c:v>7.330018190063833</c:v>
                  </c:pt>
                </c:numCache>
              </c:numRef>
            </c:minus>
          </c:errBars>
          <c:cat>
            <c:strRef>
              <c:f>Analysis!$B$92:$B$94</c:f>
              <c:strCache>
                <c:ptCount val="3"/>
                <c:pt idx="0">
                  <c:v>August 29</c:v>
                </c:pt>
                <c:pt idx="1">
                  <c:v>September 14</c:v>
                </c:pt>
                <c:pt idx="2">
                  <c:v>September 26</c:v>
                </c:pt>
              </c:strCache>
            </c:strRef>
          </c:cat>
          <c:val>
            <c:numRef>
              <c:f>Analysis!$D$107:$D$109</c:f>
              <c:numCache>
                <c:formatCode>General</c:formatCode>
                <c:ptCount val="3"/>
                <c:pt idx="0">
                  <c:v>17.5</c:v>
                </c:pt>
                <c:pt idx="1">
                  <c:v>17.25</c:v>
                </c:pt>
                <c:pt idx="2">
                  <c:v>13.5</c:v>
                </c:pt>
              </c:numCache>
            </c:numRef>
          </c:val>
        </c:ser>
        <c:dLbls>
          <c:showLegendKey val="0"/>
          <c:showVal val="0"/>
          <c:showCatName val="0"/>
          <c:showSerName val="0"/>
          <c:showPercent val="0"/>
          <c:showBubbleSize val="0"/>
        </c:dLbls>
        <c:gapWidth val="150"/>
        <c:axId val="125814656"/>
        <c:axId val="125816832"/>
      </c:barChart>
      <c:catAx>
        <c:axId val="125814656"/>
        <c:scaling>
          <c:orientation val="minMax"/>
        </c:scaling>
        <c:delete val="0"/>
        <c:axPos val="b"/>
        <c:title>
          <c:tx>
            <c:rich>
              <a:bodyPr/>
              <a:lstStyle/>
              <a:p>
                <a:pPr>
                  <a:defRPr/>
                </a:pPr>
                <a:r>
                  <a:rPr lang="en-US"/>
                  <a:t>Plant Date</a:t>
                </a:r>
              </a:p>
            </c:rich>
          </c:tx>
          <c:layout/>
          <c:overlay val="0"/>
        </c:title>
        <c:numFmt formatCode="General" sourceLinked="1"/>
        <c:majorTickMark val="out"/>
        <c:minorTickMark val="none"/>
        <c:tickLblPos val="nextTo"/>
        <c:crossAx val="125816832"/>
        <c:crosses val="autoZero"/>
        <c:auto val="1"/>
        <c:lblAlgn val="ctr"/>
        <c:lblOffset val="100"/>
        <c:noMultiLvlLbl val="0"/>
      </c:catAx>
      <c:valAx>
        <c:axId val="125816832"/>
        <c:scaling>
          <c:orientation val="minMax"/>
          <c:max val="35"/>
          <c:min val="0"/>
        </c:scaling>
        <c:delete val="0"/>
        <c:axPos val="l"/>
        <c:majorGridlines/>
        <c:title>
          <c:tx>
            <c:rich>
              <a:bodyPr rot="-5400000" vert="horz"/>
              <a:lstStyle/>
              <a:p>
                <a:pPr>
                  <a:defRPr/>
                </a:pPr>
                <a:r>
                  <a:rPr lang="en-US"/>
                  <a:t>Marketable Weight (oz)</a:t>
                </a:r>
              </a:p>
            </c:rich>
          </c:tx>
          <c:layout/>
          <c:overlay val="0"/>
        </c:title>
        <c:numFmt formatCode="General" sourceLinked="1"/>
        <c:majorTickMark val="out"/>
        <c:minorTickMark val="none"/>
        <c:tickLblPos val="nextTo"/>
        <c:crossAx val="125814656"/>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Mustard</a:t>
            </a:r>
          </a:p>
        </c:rich>
      </c:tx>
      <c:layout/>
      <c:overlay val="0"/>
    </c:title>
    <c:autoTitleDeleted val="0"/>
    <c:plotArea>
      <c:layout/>
      <c:barChart>
        <c:barDir val="col"/>
        <c:grouping val="clustered"/>
        <c:varyColors val="0"/>
        <c:ser>
          <c:idx val="2"/>
          <c:order val="0"/>
          <c:tx>
            <c:v>Harvest 1</c:v>
          </c:tx>
          <c:invertIfNegative val="0"/>
          <c:errBars>
            <c:errBarType val="both"/>
            <c:errValType val="cust"/>
            <c:noEndCap val="0"/>
            <c:plus>
              <c:numRef>
                <c:f>Analysis!$G$130:$G$132</c:f>
                <c:numCache>
                  <c:formatCode>General</c:formatCode>
                  <c:ptCount val="3"/>
                  <c:pt idx="0">
                    <c:v>4.8883364586874878</c:v>
                  </c:pt>
                  <c:pt idx="1">
                    <c:v>0</c:v>
                  </c:pt>
                  <c:pt idx="2">
                    <c:v>0</c:v>
                  </c:pt>
                </c:numCache>
              </c:numRef>
            </c:plus>
            <c:minus>
              <c:numRef>
                <c:f>Analysis!$G$130:$G$132</c:f>
                <c:numCache>
                  <c:formatCode>General</c:formatCode>
                  <c:ptCount val="3"/>
                  <c:pt idx="0">
                    <c:v>4.8883364586874878</c:v>
                  </c:pt>
                  <c:pt idx="1">
                    <c:v>0</c:v>
                  </c:pt>
                  <c:pt idx="2">
                    <c:v>0</c:v>
                  </c:pt>
                </c:numCache>
              </c:numRef>
            </c:minus>
          </c:errBars>
          <c:cat>
            <c:strRef>
              <c:f>Analysis!$B$92:$B$94</c:f>
              <c:strCache>
                <c:ptCount val="3"/>
                <c:pt idx="0">
                  <c:v>August 29</c:v>
                </c:pt>
                <c:pt idx="1">
                  <c:v>September 14</c:v>
                </c:pt>
                <c:pt idx="2">
                  <c:v>September 26</c:v>
                </c:pt>
              </c:strCache>
            </c:strRef>
          </c:cat>
          <c:val>
            <c:numRef>
              <c:f>Analysis!$D$130:$D$132</c:f>
              <c:numCache>
                <c:formatCode>General</c:formatCode>
                <c:ptCount val="3"/>
                <c:pt idx="0">
                  <c:v>23.25</c:v>
                </c:pt>
                <c:pt idx="1">
                  <c:v>0</c:v>
                </c:pt>
                <c:pt idx="2">
                  <c:v>0</c:v>
                </c:pt>
              </c:numCache>
            </c:numRef>
          </c:val>
        </c:ser>
        <c:ser>
          <c:idx val="0"/>
          <c:order val="1"/>
          <c:tx>
            <c:v>Harvest 2</c:v>
          </c:tx>
          <c:invertIfNegative val="0"/>
          <c:errBars>
            <c:errBarType val="both"/>
            <c:errValType val="cust"/>
            <c:noEndCap val="0"/>
            <c:plus>
              <c:numRef>
                <c:f>Analysis!$G$121:$G$123</c:f>
                <c:numCache>
                  <c:formatCode>General</c:formatCode>
                  <c:ptCount val="3"/>
                  <c:pt idx="0">
                    <c:v>5.123475382979799</c:v>
                  </c:pt>
                  <c:pt idx="1">
                    <c:v>3.0956959368344519</c:v>
                  </c:pt>
                  <c:pt idx="2">
                    <c:v>6.2898728127045622</c:v>
                  </c:pt>
                </c:numCache>
              </c:numRef>
            </c:plus>
            <c:minus>
              <c:numRef>
                <c:f>Analysis!$G$121:$G$123</c:f>
                <c:numCache>
                  <c:formatCode>General</c:formatCode>
                  <c:ptCount val="3"/>
                  <c:pt idx="0">
                    <c:v>5.123475382979799</c:v>
                  </c:pt>
                  <c:pt idx="1">
                    <c:v>3.0956959368344519</c:v>
                  </c:pt>
                  <c:pt idx="2">
                    <c:v>6.2898728127045622</c:v>
                  </c:pt>
                </c:numCache>
              </c:numRef>
            </c:minus>
          </c:errBars>
          <c:cat>
            <c:strRef>
              <c:f>Analysis!$B$92:$B$94</c:f>
              <c:strCache>
                <c:ptCount val="3"/>
                <c:pt idx="0">
                  <c:v>August 29</c:v>
                </c:pt>
                <c:pt idx="1">
                  <c:v>September 14</c:v>
                </c:pt>
                <c:pt idx="2">
                  <c:v>September 26</c:v>
                </c:pt>
              </c:strCache>
            </c:strRef>
          </c:cat>
          <c:val>
            <c:numRef>
              <c:f>Analysis!$D$121:$D$123</c:f>
              <c:numCache>
                <c:formatCode>General</c:formatCode>
                <c:ptCount val="3"/>
                <c:pt idx="0">
                  <c:v>22.5</c:v>
                </c:pt>
                <c:pt idx="1">
                  <c:v>17.5</c:v>
                </c:pt>
                <c:pt idx="2">
                  <c:v>13.25</c:v>
                </c:pt>
              </c:numCache>
            </c:numRef>
          </c:val>
        </c:ser>
        <c:ser>
          <c:idx val="1"/>
          <c:order val="2"/>
          <c:tx>
            <c:v>Harvest 3</c:v>
          </c:tx>
          <c:invertIfNegative val="0"/>
          <c:errBars>
            <c:errBarType val="both"/>
            <c:errValType val="cust"/>
            <c:noEndCap val="0"/>
            <c:plus>
              <c:numRef>
                <c:f>Analysis!$G$124:$G$126</c:f>
                <c:numCache>
                  <c:formatCode>General</c:formatCode>
                  <c:ptCount val="3"/>
                  <c:pt idx="0">
                    <c:v>3.8595120589698038</c:v>
                  </c:pt>
                  <c:pt idx="1">
                    <c:v>2</c:v>
                  </c:pt>
                  <c:pt idx="2">
                    <c:v>1.1547005383792515</c:v>
                  </c:pt>
                </c:numCache>
              </c:numRef>
            </c:plus>
            <c:minus>
              <c:numRef>
                <c:f>Analysis!$G$124:$G$126</c:f>
                <c:numCache>
                  <c:formatCode>General</c:formatCode>
                  <c:ptCount val="3"/>
                  <c:pt idx="0">
                    <c:v>3.8595120589698038</c:v>
                  </c:pt>
                  <c:pt idx="1">
                    <c:v>2</c:v>
                  </c:pt>
                  <c:pt idx="2">
                    <c:v>1.1547005383792515</c:v>
                  </c:pt>
                </c:numCache>
              </c:numRef>
            </c:minus>
          </c:errBars>
          <c:cat>
            <c:strRef>
              <c:f>Analysis!$B$92:$B$94</c:f>
              <c:strCache>
                <c:ptCount val="3"/>
                <c:pt idx="0">
                  <c:v>August 29</c:v>
                </c:pt>
                <c:pt idx="1">
                  <c:v>September 14</c:v>
                </c:pt>
                <c:pt idx="2">
                  <c:v>September 26</c:v>
                </c:pt>
              </c:strCache>
            </c:strRef>
          </c:cat>
          <c:val>
            <c:numRef>
              <c:f>Analysis!$D$124:$D$126</c:f>
              <c:numCache>
                <c:formatCode>General</c:formatCode>
                <c:ptCount val="3"/>
                <c:pt idx="0">
                  <c:v>16.75</c:v>
                </c:pt>
                <c:pt idx="1">
                  <c:v>10</c:v>
                </c:pt>
                <c:pt idx="2">
                  <c:v>10</c:v>
                </c:pt>
              </c:numCache>
            </c:numRef>
          </c:val>
        </c:ser>
        <c:dLbls>
          <c:showLegendKey val="0"/>
          <c:showVal val="0"/>
          <c:showCatName val="0"/>
          <c:showSerName val="0"/>
          <c:showPercent val="0"/>
          <c:showBubbleSize val="0"/>
        </c:dLbls>
        <c:gapWidth val="150"/>
        <c:axId val="125987840"/>
        <c:axId val="125998208"/>
      </c:barChart>
      <c:catAx>
        <c:axId val="125987840"/>
        <c:scaling>
          <c:orientation val="minMax"/>
        </c:scaling>
        <c:delete val="0"/>
        <c:axPos val="b"/>
        <c:title>
          <c:tx>
            <c:rich>
              <a:bodyPr/>
              <a:lstStyle/>
              <a:p>
                <a:pPr>
                  <a:defRPr/>
                </a:pPr>
                <a:r>
                  <a:rPr lang="en-US"/>
                  <a:t>Plant Date</a:t>
                </a:r>
              </a:p>
            </c:rich>
          </c:tx>
          <c:layout/>
          <c:overlay val="0"/>
        </c:title>
        <c:numFmt formatCode="General" sourceLinked="1"/>
        <c:majorTickMark val="out"/>
        <c:minorTickMark val="none"/>
        <c:tickLblPos val="nextTo"/>
        <c:crossAx val="125998208"/>
        <c:crosses val="autoZero"/>
        <c:auto val="1"/>
        <c:lblAlgn val="ctr"/>
        <c:lblOffset val="100"/>
        <c:noMultiLvlLbl val="0"/>
      </c:catAx>
      <c:valAx>
        <c:axId val="125998208"/>
        <c:scaling>
          <c:orientation val="minMax"/>
          <c:max val="35"/>
          <c:min val="0"/>
        </c:scaling>
        <c:delete val="0"/>
        <c:axPos val="l"/>
        <c:majorGridlines/>
        <c:title>
          <c:tx>
            <c:rich>
              <a:bodyPr rot="-5400000" vert="horz"/>
              <a:lstStyle/>
              <a:p>
                <a:pPr>
                  <a:defRPr/>
                </a:pPr>
                <a:r>
                  <a:rPr lang="en-US"/>
                  <a:t>Marketable Weight (oz)</a:t>
                </a:r>
              </a:p>
            </c:rich>
          </c:tx>
          <c:layout/>
          <c:overlay val="0"/>
        </c:title>
        <c:numFmt formatCode="General" sourceLinked="1"/>
        <c:majorTickMark val="out"/>
        <c:minorTickMark val="none"/>
        <c:tickLblPos val="nextTo"/>
        <c:crossAx val="125987840"/>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 User</dc:creator>
  <cp:lastModifiedBy>Andy Cavanagh</cp:lastModifiedBy>
  <cp:revision>9</cp:revision>
  <dcterms:created xsi:type="dcterms:W3CDTF">2012-05-17T17:25:00Z</dcterms:created>
  <dcterms:modified xsi:type="dcterms:W3CDTF">2012-05-22T13:56:00Z</dcterms:modified>
</cp:coreProperties>
</file>