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84" w:rsidRPr="00F557A1" w:rsidRDefault="00E13984" w:rsidP="00E13984">
      <w:proofErr w:type="gramStart"/>
      <w:r w:rsidRPr="007E2187">
        <w:rPr>
          <w:b/>
        </w:rPr>
        <w:t>Table 5.</w:t>
      </w:r>
      <w:proofErr w:type="gramEnd"/>
      <w:r w:rsidRPr="007E2187">
        <w:rPr>
          <w:b/>
        </w:rPr>
        <w:t xml:space="preserve">  </w:t>
      </w:r>
      <w:proofErr w:type="gramStart"/>
      <w:r w:rsidRPr="007E2187">
        <w:rPr>
          <w:b/>
        </w:rPr>
        <w:t xml:space="preserve">Comparison of select </w:t>
      </w:r>
      <w:r>
        <w:rPr>
          <w:b/>
        </w:rPr>
        <w:t xml:space="preserve">soil </w:t>
      </w:r>
      <w:r w:rsidRPr="007E2187">
        <w:rPr>
          <w:b/>
        </w:rPr>
        <w:t xml:space="preserve">characteristics between </w:t>
      </w:r>
      <w:r w:rsidRPr="003D0C98">
        <w:rPr>
          <w:b/>
        </w:rPr>
        <w:t>direct</w:t>
      </w:r>
      <w:proofErr w:type="gramEnd"/>
      <w:r w:rsidRPr="003D0C98">
        <w:rPr>
          <w:b/>
        </w:rPr>
        <w:t xml:space="preserve"> seed and conventional</w:t>
      </w:r>
      <w:r>
        <w:rPr>
          <w:b/>
        </w:rPr>
        <w:t>/</w:t>
      </w:r>
      <w:r w:rsidRPr="003D0C98">
        <w:rPr>
          <w:b/>
        </w:rPr>
        <w:t>conservation tillage sites from</w:t>
      </w:r>
      <w:r w:rsidRPr="007E2187">
        <w:rPr>
          <w:b/>
        </w:rPr>
        <w:t xml:space="preserve"> each </w:t>
      </w:r>
      <w:r>
        <w:rPr>
          <w:b/>
        </w:rPr>
        <w:t xml:space="preserve">of the three </w:t>
      </w:r>
      <w:r w:rsidRPr="007E2187">
        <w:rPr>
          <w:b/>
        </w:rPr>
        <w:t>rainfall zone</w:t>
      </w:r>
      <w:r>
        <w:rPr>
          <w:b/>
        </w:rPr>
        <w:t>s, averaged across all landscape positions and depth increments</w:t>
      </w:r>
      <w:r w:rsidRPr="007E2187">
        <w:rPr>
          <w:b/>
        </w:rPr>
        <w:t>.</w:t>
      </w:r>
      <w:r>
        <w:rPr>
          <w:b/>
        </w:rPr>
        <w:t xml:space="preserve">  Different letters in the same section in the same column are significantly different at </w:t>
      </w:r>
      <w:r w:rsidRPr="00AC2C47">
        <w:rPr>
          <w:b/>
          <w:i/>
        </w:rPr>
        <w:t>P</w:t>
      </w:r>
      <w:r w:rsidRPr="00AC2C47">
        <w:rPr>
          <w:b/>
          <w:u w:val="single"/>
        </w:rPr>
        <w:t>&lt;</w:t>
      </w:r>
      <w:r>
        <w:rPr>
          <w:b/>
        </w:rPr>
        <w:t xml:space="preserve">0.05. </w:t>
      </w:r>
    </w:p>
    <w:tbl>
      <w:tblPr>
        <w:tblStyle w:val="TableGrid"/>
        <w:tblW w:w="135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710"/>
        <w:gridCol w:w="900"/>
        <w:gridCol w:w="900"/>
        <w:gridCol w:w="810"/>
        <w:gridCol w:w="996"/>
        <w:gridCol w:w="900"/>
        <w:gridCol w:w="900"/>
        <w:gridCol w:w="900"/>
        <w:gridCol w:w="900"/>
        <w:gridCol w:w="810"/>
        <w:gridCol w:w="810"/>
      </w:tblGrid>
      <w:tr w:rsidR="00E13984" w:rsidRPr="007E2187" w:rsidTr="001D2E86">
        <w:tc>
          <w:tcPr>
            <w:tcW w:w="1512" w:type="dxa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β-</w:t>
            </w:r>
            <w:proofErr w:type="spellStart"/>
            <w:r w:rsidRPr="007E2187">
              <w:rPr>
                <w:b/>
                <w:color w:val="000000"/>
              </w:rPr>
              <w:t>glucosidase</w:t>
            </w:r>
            <w:proofErr w:type="spellEnd"/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Dehydrogenase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 w:rsidRPr="007E2187">
              <w:rPr>
                <w:b/>
                <w:color w:val="000000"/>
              </w:rPr>
              <w:t>H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EC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CEC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NO</w:t>
            </w:r>
            <w:r w:rsidRPr="007E2187">
              <w:rPr>
                <w:b/>
                <w:color w:val="000000"/>
                <w:vertAlign w:val="subscript"/>
              </w:rPr>
              <w:t>3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NH</w:t>
            </w:r>
            <w:r w:rsidRPr="007E2187">
              <w:rPr>
                <w:b/>
                <w:color w:val="000000"/>
                <w:vertAlign w:val="subscript"/>
              </w:rPr>
              <w:t>4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Olsen P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K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S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Al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Cd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CE49CB" w:rsidRDefault="00E13984" w:rsidP="001D2E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E13984" w:rsidRPr="00CE49CB" w:rsidRDefault="00E13984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ρ-</w:t>
            </w:r>
            <w:proofErr w:type="spellStart"/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nitrophenol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710" w:type="dxa"/>
          </w:tcPr>
          <w:p w:rsidR="00E13984" w:rsidRPr="00AF560C" w:rsidRDefault="00E13984" w:rsidP="001D2E86">
            <w:pPr>
              <w:jc w:val="center"/>
              <w:rPr>
                <w:color w:val="000000"/>
              </w:rPr>
            </w:pPr>
            <w:r w:rsidRPr="00AF560C">
              <w:rPr>
                <w:rFonts w:ascii="Calibri" w:eastAsia="Times New Roman" w:hAnsi="Calibri" w:cs="Times New Roman"/>
                <w:color w:val="000000"/>
              </w:rPr>
              <w:t>µg g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  <w:r w:rsidRPr="00AF560C">
              <w:rPr>
                <w:rFonts w:ascii="Calibri" w:eastAsia="Times New Roman" w:hAnsi="Calibri" w:cs="Times New Roman"/>
                <w:color w:val="000000"/>
              </w:rPr>
              <w:t xml:space="preserve"> soil hour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</w:p>
        </w:tc>
        <w:tc>
          <w:tcPr>
            <w:tcW w:w="900" w:type="dxa"/>
          </w:tcPr>
          <w:p w:rsidR="00C503FB" w:rsidRDefault="00C503FB" w:rsidP="00C503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</w:t>
            </w:r>
          </w:p>
          <w:p w:rsidR="00E13984" w:rsidRPr="00AF560C" w:rsidRDefault="00C503FB" w:rsidP="00C503FB">
            <w:pPr>
              <w:jc w:val="center"/>
              <w:rPr>
                <w:color w:val="000000"/>
              </w:rPr>
            </w:pPr>
            <w:proofErr w:type="spellStart"/>
            <w:r w:rsidRPr="001B3D0C">
              <w:rPr>
                <w:color w:val="000000"/>
                <w:sz w:val="16"/>
                <w:szCs w:val="16"/>
              </w:rPr>
              <w:t>water</w:t>
            </w:r>
            <w:r>
              <w:rPr>
                <w:color w:val="000000"/>
                <w:sz w:val="16"/>
                <w:szCs w:val="16"/>
              </w:rPr>
              <w:t>:</w:t>
            </w:r>
            <w:r w:rsidRPr="001B3D0C">
              <w:rPr>
                <w:color w:val="000000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900" w:type="dxa"/>
          </w:tcPr>
          <w:p w:rsidR="00E13984" w:rsidRPr="00AF560C" w:rsidRDefault="00E13984" w:rsidP="001D2E86">
            <w:pPr>
              <w:spacing w:after="200" w:line="276" w:lineRule="auto"/>
              <w:jc w:val="center"/>
              <w:rPr>
                <w:color w:val="000000"/>
                <w:vertAlign w:val="superscript"/>
              </w:rPr>
            </w:pPr>
            <w:r w:rsidRPr="00AF560C">
              <w:rPr>
                <w:rFonts w:ascii="Calibri" w:eastAsia="Times New Roman" w:hAnsi="Calibri" w:cs="Times New Roman"/>
                <w:color w:val="000000"/>
              </w:rPr>
              <w:t>µs cm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810" w:type="dxa"/>
          </w:tcPr>
          <w:p w:rsidR="00E13984" w:rsidRPr="00AF560C" w:rsidRDefault="00C503FB" w:rsidP="001D2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AF560C">
              <w:rPr>
                <w:color w:val="000000"/>
              </w:rPr>
              <w:t>eq</w:t>
            </w:r>
            <w:proofErr w:type="spellEnd"/>
            <w:r>
              <w:rPr>
                <w:color w:val="000000"/>
              </w:rPr>
              <w:t xml:space="preserve"> 100g</w:t>
            </w:r>
            <w:r w:rsidRPr="00532002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216" w:type="dxa"/>
            <w:gridSpan w:val="7"/>
          </w:tcPr>
          <w:p w:rsidR="00E13984" w:rsidRPr="0091309C" w:rsidRDefault="00C503FB" w:rsidP="001D2E86">
            <w:pPr>
              <w:spacing w:after="200" w:line="276" w:lineRule="auto"/>
              <w:jc w:val="center"/>
              <w:rPr>
                <w:color w:val="000000"/>
                <w:highlight w:val="yellow"/>
              </w:rPr>
            </w:pPr>
            <w:r w:rsidRPr="001B3D0C">
              <w:rPr>
                <w:color w:val="000000"/>
              </w:rPr>
              <w:t>mg kg</w:t>
            </w:r>
            <w:r w:rsidRPr="001B3D0C">
              <w:rPr>
                <w:color w:val="000000"/>
                <w:vertAlign w:val="superscript"/>
              </w:rPr>
              <w:t>-1</w:t>
            </w:r>
            <w:bookmarkStart w:id="0" w:name="_GoBack"/>
            <w:bookmarkEnd w:id="0"/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rPr>
                <w:b/>
                <w:color w:val="000000"/>
                <w:u w:val="single"/>
              </w:rPr>
            </w:pPr>
            <w:r w:rsidRPr="00BB67CC">
              <w:rPr>
                <w:b/>
                <w:color w:val="000000"/>
                <w:u w:val="single"/>
              </w:rPr>
              <w:t>High Rainfall: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Direct Seed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16.3 a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1.2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5.0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237.9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18.6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72.6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7.3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34.1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319.5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39.4 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65.1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1.44 a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Tilled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13.2 a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1.7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5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138.4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24.7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48.1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8.5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33.6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258.7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24.9 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17.1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0.05 b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rPr>
                <w:b/>
                <w:color w:val="000000"/>
                <w:u w:val="single"/>
              </w:rPr>
            </w:pPr>
            <w:r w:rsidRPr="00BB67CC">
              <w:rPr>
                <w:b/>
                <w:color w:val="000000"/>
                <w:u w:val="single"/>
              </w:rPr>
              <w:t>Intermediate Rainfall: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Direct Seed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9.3 a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6.7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144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11.9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32.6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6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25.7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668.2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13.7 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10.4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0.06 a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Tilled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9.7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2.4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7.</w:t>
            </w:r>
            <w:r>
              <w:rPr>
                <w:color w:val="000000"/>
              </w:rPr>
              <w:t xml:space="preserve">4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182.4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14.1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31.3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4.7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15.2 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448.1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4.1 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3.9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0.02 b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rPr>
                <w:b/>
                <w:color w:val="000000"/>
                <w:u w:val="single"/>
              </w:rPr>
            </w:pPr>
            <w:r w:rsidRPr="00BB67CC">
              <w:rPr>
                <w:b/>
                <w:color w:val="000000"/>
                <w:u w:val="single"/>
              </w:rPr>
              <w:t>Low Rainfall: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rPr>
                <w:color w:val="000000"/>
              </w:rPr>
            </w:pPr>
            <w:r w:rsidRPr="007E2187">
              <w:rPr>
                <w:color w:val="000000"/>
              </w:rPr>
              <w:t> 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Direct Seed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14.1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6.3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106.1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8.9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23.9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4.9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22.5 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548.2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10.4 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2.1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0.04 a</w:t>
            </w:r>
          </w:p>
        </w:tc>
      </w:tr>
      <w:tr w:rsidR="00E13984" w:rsidRPr="007E2187" w:rsidTr="001D2E86">
        <w:tc>
          <w:tcPr>
            <w:tcW w:w="1512" w:type="dxa"/>
          </w:tcPr>
          <w:p w:rsidR="00E13984" w:rsidRPr="00BB67CC" w:rsidRDefault="00E13984" w:rsidP="001D2E86">
            <w:pPr>
              <w:jc w:val="right"/>
              <w:rPr>
                <w:b/>
                <w:color w:val="000000"/>
              </w:rPr>
            </w:pPr>
            <w:r w:rsidRPr="00BB67CC">
              <w:rPr>
                <w:b/>
                <w:color w:val="000000"/>
              </w:rPr>
              <w:t>Tilled</w:t>
            </w:r>
          </w:p>
        </w:tc>
        <w:tc>
          <w:tcPr>
            <w:tcW w:w="1512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12.3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17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2.5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7.3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161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96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22.4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a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3.2 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13.7 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407.8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90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5.4 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0.3</w:t>
            </w:r>
            <w:r>
              <w:rPr>
                <w:color w:val="000000"/>
              </w:rPr>
              <w:t xml:space="preserve"> </w:t>
            </w:r>
            <w:r w:rsidRPr="007E2187">
              <w:rPr>
                <w:color w:val="000000"/>
              </w:rPr>
              <w:t>b</w:t>
            </w:r>
          </w:p>
        </w:tc>
        <w:tc>
          <w:tcPr>
            <w:tcW w:w="810" w:type="dxa"/>
            <w:vAlign w:val="bottom"/>
          </w:tcPr>
          <w:p w:rsidR="00E13984" w:rsidRPr="007E2187" w:rsidRDefault="00E13984" w:rsidP="001D2E86">
            <w:pPr>
              <w:jc w:val="right"/>
              <w:rPr>
                <w:color w:val="000000"/>
              </w:rPr>
            </w:pPr>
            <w:r w:rsidRPr="007E2187">
              <w:rPr>
                <w:color w:val="000000"/>
              </w:rPr>
              <w:t>0.02 b</w:t>
            </w:r>
          </w:p>
        </w:tc>
      </w:tr>
    </w:tbl>
    <w:p w:rsidR="00D1535B" w:rsidRDefault="00C503FB"/>
    <w:sectPr w:rsidR="00D1535B" w:rsidSect="00E139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84"/>
    <w:rsid w:val="004F4CEC"/>
    <w:rsid w:val="00992029"/>
    <w:rsid w:val="00C503FB"/>
    <w:rsid w:val="00E1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Stubbs, Tami LaShaw</cp:lastModifiedBy>
  <cp:revision>2</cp:revision>
  <dcterms:created xsi:type="dcterms:W3CDTF">2014-02-08T01:28:00Z</dcterms:created>
  <dcterms:modified xsi:type="dcterms:W3CDTF">2014-02-26T18:50:00Z</dcterms:modified>
</cp:coreProperties>
</file>