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EA" w:rsidRDefault="009166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20EAA" wp14:editId="1BB98566">
                <wp:simplePos x="0" y="0"/>
                <wp:positionH relativeFrom="column">
                  <wp:posOffset>0</wp:posOffset>
                </wp:positionH>
                <wp:positionV relativeFrom="paragraph">
                  <wp:posOffset>6549390</wp:posOffset>
                </wp:positionV>
                <wp:extent cx="5837555" cy="3810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923" w:rsidRPr="004951EC" w:rsidRDefault="00696923" w:rsidP="0069692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951EC">
                              <w:rPr>
                                <w:sz w:val="18"/>
                                <w:szCs w:val="18"/>
                              </w:rPr>
                              <w:t xml:space="preserve">Figure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4951E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4951E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D56F3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mpacts of reduced tillage on </w:t>
                            </w:r>
                            <w:r w:rsidR="00DD56F3">
                              <w:rPr>
                                <w:sz w:val="18"/>
                                <w:szCs w:val="18"/>
                              </w:rPr>
                              <w:t>MA and NY vegetable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farms.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51EC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Responses on “# Pesticide Applications” mostly refer to herbicide applications.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5.7pt;width:459.6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" filled="f" stroked="f">
                <v:textbox>
                  <w:txbxContent>
                    <w:p w:rsidR="00696923" w:rsidRPr="004951EC" w:rsidRDefault="00696923" w:rsidP="0069692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4951EC">
                        <w:rPr>
                          <w:sz w:val="18"/>
                          <w:szCs w:val="18"/>
                        </w:rPr>
                        <w:t xml:space="preserve">Figure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4951EC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4951E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D56F3">
                        <w:rPr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sz w:val="18"/>
                          <w:szCs w:val="18"/>
                        </w:rPr>
                        <w:t xml:space="preserve">mpacts of reduced tillage on </w:t>
                      </w:r>
                      <w:r w:rsidR="00DD56F3">
                        <w:rPr>
                          <w:sz w:val="18"/>
                          <w:szCs w:val="18"/>
                        </w:rPr>
                        <w:t>MA and NY vegetable</w:t>
                      </w:r>
                      <w:r>
                        <w:rPr>
                          <w:sz w:val="18"/>
                          <w:szCs w:val="18"/>
                        </w:rPr>
                        <w:t xml:space="preserve"> farms.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951EC">
                        <w:rPr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 xml:space="preserve">Responses on “# Pesticide Applications” mostly refer to herbicide applications.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F9396B" wp14:editId="161C7505">
            <wp:extent cx="5800299" cy="3138985"/>
            <wp:effectExtent l="0" t="0" r="10160" b="234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-40943</wp:posOffset>
            </wp:positionH>
            <wp:positionV relativeFrom="paragraph">
              <wp:posOffset>136478</wp:posOffset>
            </wp:positionV>
            <wp:extent cx="5838190" cy="3076885"/>
            <wp:effectExtent l="0" t="0" r="10160" b="952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1E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23"/>
    <w:rsid w:val="001E1CEA"/>
    <w:rsid w:val="003863A6"/>
    <w:rsid w:val="00696923"/>
    <w:rsid w:val="009166E0"/>
    <w:rsid w:val="00D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6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6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r47\Documents\2014\NESARE%20RT%202010%20to%202013\Final%20Survey\Copy%20of%202014-0226%20NY%20trimmed%20survey%20output%20-%20numbers%20crunched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421965866046905"/>
          <c:y val="5.0925925925925923E-2"/>
          <c:w val="0.62970264254520192"/>
          <c:h val="0.797538757655293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figures!$C$12</c:f>
              <c:strCache>
                <c:ptCount val="1"/>
                <c:pt idx="0">
                  <c:v>More</c:v>
                </c:pt>
              </c:strCache>
            </c:strRef>
          </c:tx>
          <c:invertIfNegative val="0"/>
          <c:cat>
            <c:strRef>
              <c:f>figures!$B$13:$B$22</c:f>
              <c:strCache>
                <c:ptCount val="10"/>
                <c:pt idx="0">
                  <c:v>Incidence of Phytophthora Blight    </c:v>
                </c:pt>
                <c:pt idx="1">
                  <c:v>Marketable Yield  </c:v>
                </c:pt>
                <c:pt idx="2">
                  <c:v>Soil Compaction  </c:v>
                </c:pt>
                <c:pt idx="3">
                  <c:v>Soil Health   </c:v>
                </c:pt>
                <c:pt idx="4">
                  <c:v>Fuel Consumption </c:v>
                </c:pt>
                <c:pt idx="5">
                  <c:v>Tractor Wear </c:v>
                </c:pt>
                <c:pt idx="6">
                  <c:v>Total Labor Hrs</c:v>
                </c:pt>
                <c:pt idx="7">
                  <c:v>Irrigation/Water Use </c:v>
                </c:pt>
                <c:pt idx="8">
                  <c:v>Cultivation Hours/Passes</c:v>
                </c:pt>
                <c:pt idx="9">
                  <c:v>Field Prep Time/Number of Passes</c:v>
                </c:pt>
              </c:strCache>
            </c:strRef>
          </c:cat>
          <c:val>
            <c:numRef>
              <c:f>figures!$C$13:$C$22</c:f>
              <c:numCache>
                <c:formatCode>General</c:formatCode>
                <c:ptCount val="10"/>
                <c:pt idx="0">
                  <c:v>1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figures!$D$12</c:f>
              <c:strCache>
                <c:ptCount val="1"/>
                <c:pt idx="0">
                  <c:v>Same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figures!$B$13:$B$22</c:f>
              <c:strCache>
                <c:ptCount val="10"/>
                <c:pt idx="0">
                  <c:v>Incidence of Phytophthora Blight    </c:v>
                </c:pt>
                <c:pt idx="1">
                  <c:v>Marketable Yield  </c:v>
                </c:pt>
                <c:pt idx="2">
                  <c:v>Soil Compaction  </c:v>
                </c:pt>
                <c:pt idx="3">
                  <c:v>Soil Health   </c:v>
                </c:pt>
                <c:pt idx="4">
                  <c:v>Fuel Consumption </c:v>
                </c:pt>
                <c:pt idx="5">
                  <c:v>Tractor Wear </c:v>
                </c:pt>
                <c:pt idx="6">
                  <c:v>Total Labor Hrs</c:v>
                </c:pt>
                <c:pt idx="7">
                  <c:v>Irrigation/Water Use </c:v>
                </c:pt>
                <c:pt idx="8">
                  <c:v>Cultivation Hours/Passes</c:v>
                </c:pt>
                <c:pt idx="9">
                  <c:v>Field Prep Time/Number of Passes</c:v>
                </c:pt>
              </c:strCache>
            </c:strRef>
          </c:cat>
          <c:val>
            <c:numRef>
              <c:f>figures!$D$13:$D$22</c:f>
              <c:numCache>
                <c:formatCode>General</c:formatCode>
                <c:ptCount val="10"/>
                <c:pt idx="0">
                  <c:v>9</c:v>
                </c:pt>
                <c:pt idx="1">
                  <c:v>9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7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figures!$E$12</c:f>
              <c:strCache>
                <c:ptCount val="1"/>
                <c:pt idx="0">
                  <c:v>Less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figures!$B$13:$B$22</c:f>
              <c:strCache>
                <c:ptCount val="10"/>
                <c:pt idx="0">
                  <c:v>Incidence of Phytophthora Blight    </c:v>
                </c:pt>
                <c:pt idx="1">
                  <c:v>Marketable Yield  </c:v>
                </c:pt>
                <c:pt idx="2">
                  <c:v>Soil Compaction  </c:v>
                </c:pt>
                <c:pt idx="3">
                  <c:v>Soil Health   </c:v>
                </c:pt>
                <c:pt idx="4">
                  <c:v>Fuel Consumption </c:v>
                </c:pt>
                <c:pt idx="5">
                  <c:v>Tractor Wear </c:v>
                </c:pt>
                <c:pt idx="6">
                  <c:v>Total Labor Hrs</c:v>
                </c:pt>
                <c:pt idx="7">
                  <c:v>Irrigation/Water Use </c:v>
                </c:pt>
                <c:pt idx="8">
                  <c:v>Cultivation Hours/Passes</c:v>
                </c:pt>
                <c:pt idx="9">
                  <c:v>Field Prep Time/Number of Passes</c:v>
                </c:pt>
              </c:strCache>
            </c:strRef>
          </c:cat>
          <c:val>
            <c:numRef>
              <c:f>figures!$E$13:$E$22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18</c:v>
                </c:pt>
                <c:pt idx="3">
                  <c:v>12</c:v>
                </c:pt>
                <c:pt idx="4">
                  <c:v>19</c:v>
                </c:pt>
                <c:pt idx="5">
                  <c:v>18</c:v>
                </c:pt>
                <c:pt idx="6">
                  <c:v>20</c:v>
                </c:pt>
                <c:pt idx="7">
                  <c:v>10</c:v>
                </c:pt>
                <c:pt idx="8">
                  <c:v>15</c:v>
                </c:pt>
                <c:pt idx="9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812416"/>
        <c:axId val="180994048"/>
      </c:barChart>
      <c:catAx>
        <c:axId val="90812416"/>
        <c:scaling>
          <c:orientation val="minMax"/>
        </c:scaling>
        <c:delete val="0"/>
        <c:axPos val="l"/>
        <c:majorTickMark val="out"/>
        <c:minorTickMark val="none"/>
        <c:tickLblPos val="nextTo"/>
        <c:crossAx val="180994048"/>
        <c:crosses val="autoZero"/>
        <c:auto val="1"/>
        <c:lblAlgn val="ctr"/>
        <c:lblOffset val="100"/>
        <c:noMultiLvlLbl val="0"/>
      </c:catAx>
      <c:valAx>
        <c:axId val="18099404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 of Responses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0812416"/>
        <c:crosses val="autoZero"/>
        <c:crossBetween val="between"/>
        <c:majorUnit val="2"/>
      </c:valAx>
    </c:plotArea>
    <c:legend>
      <c:legendPos val="r"/>
      <c:layout>
        <c:manualLayout>
          <c:xMode val="edge"/>
          <c:yMode val="edge"/>
          <c:x val="0.88282149767276041"/>
          <c:y val="6.4609273840769907E-2"/>
          <c:w val="9.0305205697262053E-2"/>
          <c:h val="0.23666106736657919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4572141486798458"/>
          <c:y val="2.5186251586286682E-2"/>
          <c:w val="0.62309711286089242"/>
          <c:h val="0.8471834338949944"/>
        </c:manualLayout>
      </c:layout>
      <c:barChart>
        <c:barDir val="bar"/>
        <c:grouping val="clustered"/>
        <c:varyColors val="0"/>
        <c:ser>
          <c:idx val="0"/>
          <c:order val="0"/>
          <c:tx>
            <c:v>More</c:v>
          </c:tx>
          <c:invertIfNegative val="0"/>
          <c:cat>
            <c:strRef>
              <c:f>MoreLessSame!$A$2:$A$12</c:f>
              <c:strCache>
                <c:ptCount val="11"/>
                <c:pt idx="0">
                  <c:v>Field Prep Time/Number of Passes</c:v>
                </c:pt>
                <c:pt idx="1">
                  <c:v>Cultivation Hours/Passes</c:v>
                </c:pt>
                <c:pt idx="2">
                  <c:v># Pesticide Applications*</c:v>
                </c:pt>
                <c:pt idx="3">
                  <c:v>Irrigation/Water Use</c:v>
                </c:pt>
                <c:pt idx="4">
                  <c:v>Total Labor Hours</c:v>
                </c:pt>
                <c:pt idx="5">
                  <c:v>Tractor Wear</c:v>
                </c:pt>
                <c:pt idx="6">
                  <c:v>Fuel Consumption</c:v>
                </c:pt>
                <c:pt idx="7">
                  <c:v>Soil Health</c:v>
                </c:pt>
                <c:pt idx="8">
                  <c:v>Soil Compaction</c:v>
                </c:pt>
                <c:pt idx="9">
                  <c:v>Marketable Yield</c:v>
                </c:pt>
                <c:pt idx="10">
                  <c:v>Incidence of Phytophthora blight</c:v>
                </c:pt>
              </c:strCache>
            </c:strRef>
          </c:cat>
          <c:val>
            <c:numRef>
              <c:f>MoreLessSame!$B$2:$B$12</c:f>
              <c:numCache>
                <c:formatCode>General</c:formatCode>
                <c:ptCount val="11"/>
                <c:pt idx="0">
                  <c:v>0</c:v>
                </c:pt>
                <c:pt idx="1">
                  <c:v>3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9</c:v>
                </c:pt>
                <c:pt idx="8">
                  <c:v>0</c:v>
                </c:pt>
                <c:pt idx="9">
                  <c:v>7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v>Same</c:v>
          </c:tx>
          <c:spPr>
            <a:solidFill>
              <a:schemeClr val="accent3"/>
            </a:solidFill>
          </c:spPr>
          <c:invertIfNegative val="0"/>
          <c:val>
            <c:numRef>
              <c:f>MoreLessSame!$B$26:$B$36</c:f>
              <c:numCache>
                <c:formatCode>General</c:formatCode>
                <c:ptCount val="11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4</c:v>
                </c:pt>
                <c:pt idx="8">
                  <c:v>2</c:v>
                </c:pt>
                <c:pt idx="9">
                  <c:v>6</c:v>
                </c:pt>
                <c:pt idx="10">
                  <c:v>5</c:v>
                </c:pt>
              </c:numCache>
            </c:numRef>
          </c:val>
        </c:ser>
        <c:ser>
          <c:idx val="2"/>
          <c:order val="2"/>
          <c:tx>
            <c:v>Less</c:v>
          </c:tx>
          <c:spPr>
            <a:solidFill>
              <a:schemeClr val="accent2"/>
            </a:solidFill>
          </c:spPr>
          <c:invertIfNegative val="0"/>
          <c:val>
            <c:numRef>
              <c:f>MoreLessSame!$B$14:$B$24</c:f>
              <c:numCache>
                <c:formatCode>General</c:formatCode>
                <c:ptCount val="11"/>
                <c:pt idx="0">
                  <c:v>13</c:v>
                </c:pt>
                <c:pt idx="1">
                  <c:v>6</c:v>
                </c:pt>
                <c:pt idx="2">
                  <c:v>0</c:v>
                </c:pt>
                <c:pt idx="3">
                  <c:v>5</c:v>
                </c:pt>
                <c:pt idx="4">
                  <c:v>11</c:v>
                </c:pt>
                <c:pt idx="5">
                  <c:v>11</c:v>
                </c:pt>
                <c:pt idx="6">
                  <c:v>13</c:v>
                </c:pt>
                <c:pt idx="7">
                  <c:v>0</c:v>
                </c:pt>
                <c:pt idx="8">
                  <c:v>11</c:v>
                </c:pt>
                <c:pt idx="9">
                  <c:v>1</c:v>
                </c:pt>
                <c:pt idx="1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880000"/>
        <c:axId val="190894080"/>
      </c:barChart>
      <c:catAx>
        <c:axId val="1908800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90894080"/>
        <c:crosses val="autoZero"/>
        <c:auto val="1"/>
        <c:lblAlgn val="ctr"/>
        <c:lblOffset val="100"/>
        <c:noMultiLvlLbl val="0"/>
      </c:catAx>
      <c:valAx>
        <c:axId val="19089408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 of Responses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0880000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87970410649341479"/>
          <c:y val="2.4765306470667575E-2"/>
          <c:w val="9.0400527288349047E-2"/>
          <c:h val="0.22391444594126853"/>
        </c:manualLayout>
      </c:layout>
      <c:overlay val="1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0.86526</cdr:x>
      <cdr:y>0.67768</cdr:y>
    </cdr:from>
    <cdr:to>
      <cdr:x>0.95467</cdr:x>
      <cdr:y>0.79695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18585" y="2016078"/>
          <a:ext cx="518615" cy="35484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600"/>
            <a:t>NY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0.85091</cdr:x>
      <cdr:y>0.58999</cdr:y>
    </cdr:from>
    <cdr:to>
      <cdr:x>0.93974</cdr:x>
      <cdr:y>0.70533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967785" y="1815152"/>
          <a:ext cx="518615" cy="35484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600"/>
            <a:t>MA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Rangarajan</dc:creator>
  <cp:lastModifiedBy>Anu Rangarajan</cp:lastModifiedBy>
  <cp:revision>3</cp:revision>
  <dcterms:created xsi:type="dcterms:W3CDTF">2014-07-26T17:27:00Z</dcterms:created>
  <dcterms:modified xsi:type="dcterms:W3CDTF">2014-07-31T00:26:00Z</dcterms:modified>
</cp:coreProperties>
</file>