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C6" w:rsidRPr="00C51882" w:rsidRDefault="006D7FC6" w:rsidP="006D7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="Cambria" w:hAnsi="Cambria" w:cs="Cambria"/>
          <w:b/>
          <w:i/>
        </w:rPr>
      </w:pPr>
      <w:r w:rsidRPr="00C51882">
        <w:rPr>
          <w:rFonts w:ascii="Cambria" w:hAnsi="Cambria" w:cs="Cambria"/>
          <w:b/>
          <w:i/>
        </w:rPr>
        <w:t>BENEFICIARY FORM</w:t>
      </w:r>
    </w:p>
    <w:p w:rsidR="006D7FC6" w:rsidRPr="00840CF7" w:rsidRDefault="006D7FC6" w:rsidP="006D7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 xml:space="preserve">Northeast SARE Professional Development Program </w:t>
      </w:r>
    </w:p>
    <w:p w:rsidR="006D7FC6" w:rsidRPr="00840CF7" w:rsidRDefault="006D7FC6" w:rsidP="006D7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="Cambria" w:hAnsi="Cambria" w:cs="Cambria"/>
          <w:b/>
        </w:rPr>
      </w:pPr>
    </w:p>
    <w:p w:rsidR="006D7FC6" w:rsidRPr="00840CF7" w:rsidRDefault="006D7FC6" w:rsidP="006D7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4" w:right="144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Project ID: _______</w:t>
      </w:r>
      <w:r w:rsidR="00FC177A">
        <w:rPr>
          <w:rFonts w:ascii="Cambria" w:hAnsi="Cambria" w:cs="Cambria"/>
          <w:b/>
        </w:rPr>
        <w:t>PD13-002</w:t>
      </w:r>
      <w:r w:rsidRPr="00840CF7">
        <w:rPr>
          <w:rFonts w:ascii="Cambria" w:hAnsi="Cambria" w:cs="Cambria"/>
          <w:b/>
        </w:rPr>
        <w:t>__________</w:t>
      </w:r>
    </w:p>
    <w:p w:rsidR="006D7FC6" w:rsidRPr="00840CF7" w:rsidRDefault="006D7FC6" w:rsidP="006D7FC6">
      <w:pPr>
        <w:tabs>
          <w:tab w:val="left" w:pos="-900"/>
          <w:tab w:val="left" w:pos="2880"/>
        </w:tabs>
        <w:suppressAutoHyphens/>
        <w:spacing w:after="120" w:line="240" w:lineRule="auto"/>
        <w:ind w:left="144" w:right="144"/>
        <w:jc w:val="both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Principal Investigator: ____________</w:t>
      </w:r>
      <w:proofErr w:type="spellStart"/>
      <w:r w:rsidR="00FC177A">
        <w:rPr>
          <w:rFonts w:ascii="Cambria" w:hAnsi="Cambria" w:cs="Cambria"/>
          <w:b/>
        </w:rPr>
        <w:t>Anusuya</w:t>
      </w:r>
      <w:proofErr w:type="spellEnd"/>
      <w:r w:rsidR="00FC177A">
        <w:rPr>
          <w:rFonts w:ascii="Cambria" w:hAnsi="Cambria" w:cs="Cambria"/>
          <w:b/>
        </w:rPr>
        <w:t xml:space="preserve"> Rangarajan</w:t>
      </w:r>
      <w:r w:rsidRPr="00840CF7">
        <w:rPr>
          <w:rFonts w:ascii="Cambria" w:hAnsi="Cambria" w:cs="Cambria"/>
          <w:b/>
        </w:rPr>
        <w:t>____________</w:t>
      </w:r>
    </w:p>
    <w:p w:rsidR="006D7FC6" w:rsidRPr="00840CF7" w:rsidRDefault="006D7FC6" w:rsidP="006D7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4" w:right="144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Annual Report year: ______</w:t>
      </w:r>
      <w:r w:rsidR="007F301A">
        <w:rPr>
          <w:rFonts w:ascii="Cambria" w:hAnsi="Cambria" w:cs="Cambria"/>
          <w:b/>
        </w:rPr>
        <w:t>2014</w:t>
      </w:r>
      <w:r w:rsidRPr="00840CF7">
        <w:rPr>
          <w:rFonts w:ascii="Cambria" w:hAnsi="Cambria" w:cs="Cambria"/>
          <w:b/>
        </w:rPr>
        <w:t>_________</w:t>
      </w:r>
    </w:p>
    <w:p w:rsidR="006D7FC6" w:rsidRPr="00840CF7" w:rsidRDefault="006D7FC6" w:rsidP="006D7FC6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rFonts w:ascii="Cambria" w:hAnsi="Cambria" w:cs="Cambria"/>
          <w:b/>
        </w:rPr>
      </w:pPr>
      <w:r w:rsidRPr="00840CF7">
        <w:rPr>
          <w:rFonts w:ascii="Cambria" w:hAnsi="Cambria" w:cs="Cambria"/>
          <w:b/>
        </w:rPr>
        <w:t>Final Report year:  _____</w:t>
      </w:r>
      <w:r w:rsidR="00FC177A">
        <w:rPr>
          <w:rFonts w:ascii="Cambria" w:hAnsi="Cambria" w:cs="Cambria"/>
          <w:b/>
        </w:rPr>
        <w:t>2016</w:t>
      </w:r>
      <w:r w:rsidRPr="00840CF7">
        <w:rPr>
          <w:rFonts w:ascii="Cambria" w:hAnsi="Cambria" w:cs="Cambria"/>
          <w:b/>
        </w:rPr>
        <w:t>___________</w:t>
      </w:r>
    </w:p>
    <w:p w:rsidR="006D7FC6" w:rsidRPr="000745D2" w:rsidRDefault="006D7FC6" w:rsidP="006D7FC6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b/>
          <w:sz w:val="26"/>
          <w:szCs w:val="26"/>
        </w:rPr>
      </w:pPr>
      <w:r w:rsidRPr="00F04A37">
        <w:rPr>
          <w:b/>
        </w:rPr>
        <w:t xml:space="preserve">                                         </w:t>
      </w:r>
    </w:p>
    <w:tbl>
      <w:tblPr>
        <w:tblW w:w="10243" w:type="dxa"/>
        <w:tblInd w:w="-162" w:type="dxa"/>
        <w:tblLook w:val="0000" w:firstRow="0" w:lastRow="0" w:firstColumn="0" w:lastColumn="0" w:noHBand="0" w:noVBand="0"/>
      </w:tblPr>
      <w:tblGrid>
        <w:gridCol w:w="5490"/>
        <w:gridCol w:w="770"/>
        <w:gridCol w:w="770"/>
        <w:gridCol w:w="770"/>
        <w:gridCol w:w="770"/>
        <w:gridCol w:w="903"/>
        <w:gridCol w:w="770"/>
      </w:tblGrid>
      <w:tr w:rsidR="006D7FC6" w:rsidRPr="00C9057D" w:rsidTr="00190724">
        <w:trPr>
          <w:trHeight w:val="255"/>
        </w:trPr>
        <w:tc>
          <w:tcPr>
            <w:tcW w:w="5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Milestone </w:t>
            </w:r>
            <w:r w:rsidRPr="00C9057D"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47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Number of </w:t>
            </w:r>
            <w:r w:rsidRPr="00C9057D">
              <w:rPr>
                <w:rFonts w:ascii="Arial" w:hAnsi="Arial" w:cs="Arial"/>
                <w:b/>
                <w:bCs/>
                <w:sz w:val="20"/>
              </w:rPr>
              <w:t>Beneficiar</w:t>
            </w:r>
            <w:r>
              <w:rPr>
                <w:rFonts w:ascii="Arial" w:hAnsi="Arial" w:cs="Arial"/>
                <w:b/>
                <w:bCs/>
                <w:sz w:val="20"/>
              </w:rPr>
              <w:t>ies</w:t>
            </w:r>
          </w:p>
        </w:tc>
      </w:tr>
      <w:tr w:rsidR="006D7FC6" w:rsidRPr="00C9057D" w:rsidTr="00190724">
        <w:trPr>
          <w:trHeight w:val="1303"/>
        </w:trPr>
        <w:tc>
          <w:tcPr>
            <w:tcW w:w="5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Extension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USDA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Non-Profit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Industry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Farmers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extDirection w:val="tbRl"/>
            <w:vAlign w:val="center"/>
          </w:tcPr>
          <w:p w:rsidR="006D7FC6" w:rsidRPr="00C9057D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</w:tr>
      <w:tr w:rsidR="006D7FC6" w:rsidRPr="00D55104" w:rsidTr="00190724">
        <w:trPr>
          <w:trHeight w:val="7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36E1" w:rsidRPr="009336E1" w:rsidRDefault="0064404E" w:rsidP="009336E1">
            <w:pPr>
              <w:spacing w:before="30" w:after="0" w:line="240" w:lineRule="atLeast"/>
              <w:rPr>
                <w:rFonts w:asciiTheme="minorHAnsi" w:eastAsia="Times New Roman" w:hAnsiTheme="minorHAnsi" w:cs="Helvetica"/>
                <w:color w:val="000000"/>
              </w:rPr>
            </w:pPr>
            <w:r>
              <w:rPr>
                <w:rFonts w:asciiTheme="minorHAnsi" w:eastAsia="Times New Roman" w:hAnsiTheme="minorHAnsi" w:cs="Helvetica"/>
                <w:color w:val="000000"/>
              </w:rPr>
              <w:t xml:space="preserve">4. </w:t>
            </w:r>
            <w:r w:rsidR="00FC177A">
              <w:rPr>
                <w:rFonts w:asciiTheme="minorHAnsi" w:eastAsia="Times New Roman" w:hAnsiTheme="minorHAnsi" w:cs="Helvetica"/>
                <w:color w:val="000000"/>
              </w:rPr>
              <w:t>S</w:t>
            </w:r>
            <w:r w:rsidR="009336E1" w:rsidRPr="009336E1">
              <w:rPr>
                <w:rFonts w:asciiTheme="minorHAnsi" w:eastAsia="Times New Roman" w:hAnsiTheme="minorHAnsi" w:cs="Helvetica"/>
                <w:color w:val="000000"/>
              </w:rPr>
              <w:t>ervice providers attend Year 1 3-day training and begin revising their BF curricula focused on organic vegetable production or business planning, as well as start developing new outreach strategies to more effectively engage underserved BFs (</w:t>
            </w:r>
            <w:r w:rsidR="00FC177A">
              <w:rPr>
                <w:rFonts w:asciiTheme="minorHAnsi" w:eastAsia="Times New Roman" w:hAnsiTheme="minorHAnsi" w:cs="Helvetica"/>
                <w:color w:val="000000"/>
              </w:rPr>
              <w:t>n = 6</w:t>
            </w:r>
            <w:r w:rsidR="0083292D">
              <w:rPr>
                <w:rFonts w:asciiTheme="minorHAnsi" w:eastAsia="Times New Roman" w:hAnsiTheme="minorHAnsi" w:cs="Helvetica"/>
                <w:color w:val="000000"/>
              </w:rPr>
              <w:t>9</w:t>
            </w:r>
            <w:r w:rsidR="00FC177A">
              <w:rPr>
                <w:rFonts w:asciiTheme="minorHAnsi" w:eastAsia="Times New Roman" w:hAnsiTheme="minorHAnsi" w:cs="Helvetica"/>
                <w:color w:val="000000"/>
              </w:rPr>
              <w:t xml:space="preserve">, </w:t>
            </w:r>
            <w:r>
              <w:rPr>
                <w:rFonts w:asciiTheme="minorHAnsi" w:eastAsia="Times New Roman" w:hAnsiTheme="minorHAnsi" w:cs="Helvetica"/>
                <w:color w:val="000000"/>
              </w:rPr>
              <w:t>Oct ‘13</w:t>
            </w:r>
            <w:r w:rsidR="009336E1" w:rsidRPr="009336E1">
              <w:rPr>
                <w:rFonts w:asciiTheme="minorHAnsi" w:eastAsia="Times New Roman" w:hAnsiTheme="minorHAnsi" w:cs="Helvetica"/>
                <w:color w:val="000000"/>
              </w:rPr>
              <w:t>)</w:t>
            </w:r>
          </w:p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E40C71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4404E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E40C71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E40C71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4404E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FC177A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</w:tr>
      <w:tr w:rsidR="006D7FC6" w:rsidRPr="00D55104" w:rsidTr="00190724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04E" w:rsidRPr="0064404E" w:rsidRDefault="0064404E" w:rsidP="0064404E">
            <w:pPr>
              <w:spacing w:before="30" w:after="0" w:line="240" w:lineRule="atLeast"/>
              <w:jc w:val="both"/>
              <w:rPr>
                <w:rFonts w:asciiTheme="minorHAnsi" w:eastAsia="Times New Roman" w:hAnsiTheme="minorHAnsi" w:cs="Helvetica"/>
                <w:color w:val="000000"/>
              </w:rPr>
            </w:pPr>
            <w:r w:rsidRPr="0064404E">
              <w:rPr>
                <w:rFonts w:asciiTheme="minorHAnsi" w:eastAsia="Times New Roman" w:hAnsiTheme="minorHAnsi" w:cs="Helvetica"/>
                <w:color w:val="000000"/>
              </w:rPr>
              <w:t xml:space="preserve">5. </w:t>
            </w:r>
            <w:r>
              <w:rPr>
                <w:rFonts w:asciiTheme="minorHAnsi" w:eastAsia="Times New Roman" w:hAnsiTheme="minorHAnsi" w:cs="Helvetica"/>
                <w:color w:val="000000"/>
              </w:rPr>
              <w:t xml:space="preserve">Service providers attend </w:t>
            </w:r>
            <w:r w:rsidRPr="0064404E">
              <w:rPr>
                <w:rFonts w:asciiTheme="minorHAnsi" w:eastAsia="Times New Roman" w:hAnsiTheme="minorHAnsi" w:cs="Helvetica"/>
                <w:color w:val="000000"/>
              </w:rPr>
              <w:t>follow-up webinars expanding resources or sharing curricula on the year 1 training topics (</w:t>
            </w:r>
            <w:r w:rsidR="00AD313E">
              <w:rPr>
                <w:rFonts w:asciiTheme="minorHAnsi" w:eastAsia="Times New Roman" w:hAnsiTheme="minorHAnsi" w:cs="Helvetica"/>
                <w:color w:val="000000"/>
              </w:rPr>
              <w:t>n = 183</w:t>
            </w:r>
            <w:r w:rsidR="00FC177A">
              <w:rPr>
                <w:rFonts w:asciiTheme="minorHAnsi" w:eastAsia="Times New Roman" w:hAnsiTheme="minorHAnsi" w:cs="Helvetica"/>
                <w:color w:val="000000"/>
              </w:rPr>
              <w:t xml:space="preserve">, </w:t>
            </w:r>
            <w:r>
              <w:rPr>
                <w:rFonts w:asciiTheme="minorHAnsi" w:eastAsia="Times New Roman" w:hAnsiTheme="minorHAnsi" w:cs="Helvetica"/>
                <w:color w:val="000000"/>
              </w:rPr>
              <w:t xml:space="preserve">Nov </w:t>
            </w:r>
            <w:r w:rsidRPr="0064404E">
              <w:rPr>
                <w:rFonts w:asciiTheme="minorHAnsi" w:eastAsia="Times New Roman" w:hAnsiTheme="minorHAnsi" w:cs="Helvetica"/>
                <w:color w:val="000000"/>
              </w:rPr>
              <w:t>’</w:t>
            </w:r>
            <w:r>
              <w:rPr>
                <w:rFonts w:asciiTheme="minorHAnsi" w:eastAsia="Times New Roman" w:hAnsiTheme="minorHAnsi" w:cs="Helvetica"/>
                <w:color w:val="000000"/>
              </w:rPr>
              <w:t>13</w:t>
            </w:r>
            <w:r w:rsidR="00AD313E">
              <w:rPr>
                <w:rFonts w:asciiTheme="minorHAnsi" w:eastAsia="Times New Roman" w:hAnsiTheme="minorHAnsi" w:cs="Helvetica"/>
                <w:color w:val="000000"/>
              </w:rPr>
              <w:t xml:space="preserve"> to April ‘14</w:t>
            </w:r>
            <w:r w:rsidRPr="0064404E">
              <w:rPr>
                <w:rFonts w:asciiTheme="minorHAnsi" w:eastAsia="Times New Roman" w:hAnsiTheme="minorHAnsi" w:cs="Helvetica"/>
                <w:color w:val="000000"/>
              </w:rPr>
              <w:t>)</w:t>
            </w:r>
          </w:p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D313E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D313E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</w:t>
            </w:r>
          </w:p>
        </w:tc>
      </w:tr>
      <w:tr w:rsidR="006D7FC6" w:rsidRPr="00D55104" w:rsidTr="00190724">
        <w:trPr>
          <w:trHeight w:val="70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6F2" w:rsidRPr="005F06F2" w:rsidRDefault="005F06F2" w:rsidP="005F06F2">
            <w:pPr>
              <w:spacing w:before="15" w:after="0" w:line="240" w:lineRule="auto"/>
              <w:rPr>
                <w:rFonts w:asciiTheme="minorHAnsi" w:eastAsia="Times New Roman" w:hAnsiTheme="minorHAnsi" w:cs="Helvetica"/>
                <w:color w:val="000000"/>
              </w:rPr>
            </w:pPr>
            <w:r w:rsidRPr="005F06F2">
              <w:rPr>
                <w:rFonts w:asciiTheme="minorHAnsi" w:eastAsia="Times New Roman" w:hAnsiTheme="minorHAnsi" w:cs="Helvetica"/>
                <w:color w:val="000000"/>
              </w:rPr>
              <w:t xml:space="preserve">6. </w:t>
            </w:r>
            <w:r>
              <w:rPr>
                <w:rFonts w:asciiTheme="minorHAnsi" w:eastAsia="Times New Roman" w:hAnsiTheme="minorHAnsi" w:cs="Helvetica"/>
                <w:color w:val="000000"/>
              </w:rPr>
              <w:t>E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>ducators report that they have connected with an</w:t>
            </w:r>
            <w:r w:rsidR="00190724">
              <w:rPr>
                <w:rFonts w:asciiTheme="minorHAnsi" w:eastAsia="Times New Roman" w:hAnsiTheme="minorHAnsi" w:cs="Helvetica"/>
                <w:color w:val="000000"/>
              </w:rPr>
              <w:t xml:space="preserve">d are delivering programs to 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>BFs of underserved populations (</w:t>
            </w:r>
            <w:r w:rsidR="00196BFF">
              <w:rPr>
                <w:rFonts w:asciiTheme="minorHAnsi" w:eastAsia="Times New Roman" w:hAnsiTheme="minorHAnsi" w:cs="Helvetica"/>
                <w:color w:val="000000"/>
              </w:rPr>
              <w:t>Dec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 xml:space="preserve"> ’14)</w:t>
            </w:r>
          </w:p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6BF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</w:tr>
      <w:tr w:rsidR="006D7FC6" w:rsidRPr="00D55104" w:rsidTr="00190724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6F2" w:rsidRPr="005F06F2" w:rsidRDefault="00196BFF" w:rsidP="005F06F2">
            <w:pPr>
              <w:spacing w:before="30" w:after="0" w:line="240" w:lineRule="auto"/>
              <w:rPr>
                <w:rFonts w:asciiTheme="minorHAnsi" w:eastAsia="Times New Roman" w:hAnsiTheme="minorHAnsi" w:cs="Helvetica"/>
                <w:color w:val="000000"/>
              </w:rPr>
            </w:pPr>
            <w:r>
              <w:rPr>
                <w:rFonts w:asciiTheme="minorHAnsi" w:eastAsia="Times New Roman" w:hAnsiTheme="minorHAnsi" w:cs="Helvetica"/>
                <w:color w:val="000000"/>
              </w:rPr>
              <w:t>7. E</w:t>
            </w:r>
            <w:r w:rsidR="005F06F2" w:rsidRPr="005F06F2">
              <w:rPr>
                <w:rFonts w:asciiTheme="minorHAnsi" w:eastAsia="Times New Roman" w:hAnsiTheme="minorHAnsi" w:cs="Helvetica"/>
                <w:color w:val="000000"/>
              </w:rPr>
              <w:t>ducators report that program evaluations indicate that BFs have made changes to farm plans. (Dec ‘14)</w:t>
            </w:r>
          </w:p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6BF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190724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</w:tr>
      <w:tr w:rsidR="006D7FC6" w:rsidRPr="00D55104" w:rsidTr="00190724">
        <w:trPr>
          <w:trHeight w:val="701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6F2" w:rsidRPr="005F06F2" w:rsidRDefault="005F06F2" w:rsidP="005F06F2">
            <w:pPr>
              <w:spacing w:before="30" w:after="0" w:line="240" w:lineRule="auto"/>
              <w:rPr>
                <w:rFonts w:asciiTheme="minorHAnsi" w:eastAsia="Times New Roman" w:hAnsiTheme="minorHAnsi" w:cs="Helvetica"/>
                <w:color w:val="000000"/>
              </w:rPr>
            </w:pPr>
            <w:r w:rsidRPr="005F06F2">
              <w:rPr>
                <w:rFonts w:asciiTheme="minorHAnsi" w:eastAsia="Times New Roman" w:hAnsiTheme="minorHAnsi" w:cs="Helvetica"/>
                <w:color w:val="000000"/>
              </w:rPr>
              <w:t xml:space="preserve">8. </w:t>
            </w:r>
            <w:r>
              <w:rPr>
                <w:rFonts w:asciiTheme="minorHAnsi" w:eastAsia="Times New Roman" w:hAnsiTheme="minorHAnsi" w:cs="Helvetica"/>
                <w:color w:val="000000"/>
              </w:rPr>
              <w:t>S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>ervice providers attend Year 2 3-day training and begin revising their BF curricula focused on whole farm planning or soil health, report on challenges with engaging underserved BFs, and receive peer mentoring on alternative approaches (</w:t>
            </w:r>
            <w:r>
              <w:rPr>
                <w:rFonts w:asciiTheme="minorHAnsi" w:eastAsia="Times New Roman" w:hAnsiTheme="minorHAnsi" w:cs="Helvetica"/>
                <w:color w:val="000000"/>
              </w:rPr>
              <w:t>n=</w:t>
            </w:r>
            <w:r w:rsidR="00DA5A15">
              <w:rPr>
                <w:rFonts w:asciiTheme="minorHAnsi" w:eastAsia="Times New Roman" w:hAnsiTheme="minorHAnsi" w:cs="Helvetica"/>
                <w:color w:val="000000"/>
              </w:rPr>
              <w:t xml:space="preserve"> 65,</w:t>
            </w:r>
            <w:r>
              <w:rPr>
                <w:rFonts w:asciiTheme="minorHAnsi" w:eastAsia="Times New Roman" w:hAnsiTheme="minorHAnsi" w:cs="Helvetica"/>
                <w:color w:val="000000"/>
              </w:rPr>
              <w:t xml:space="preserve"> 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>Oct ‘14)</w:t>
            </w:r>
          </w:p>
          <w:p w:rsidR="005F06F2" w:rsidRPr="005F06F2" w:rsidRDefault="005F06F2" w:rsidP="005F06F2">
            <w:pPr>
              <w:spacing w:before="30" w:after="0" w:line="240" w:lineRule="auto"/>
              <w:rPr>
                <w:rFonts w:asciiTheme="minorHAnsi" w:eastAsia="Times New Roman" w:hAnsiTheme="minorHAnsi" w:cs="Helvetica"/>
                <w:color w:val="000000"/>
              </w:rPr>
            </w:pPr>
          </w:p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DA5A15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DA5A15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DA5A15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DA5A15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DA5A15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DA5A15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</w:tr>
      <w:tr w:rsidR="006D7FC6" w:rsidRPr="00D55104" w:rsidTr="00190724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6F2" w:rsidRPr="005F06F2" w:rsidRDefault="005F06F2" w:rsidP="005F06F2">
            <w:pPr>
              <w:spacing w:before="30" w:after="0" w:line="240" w:lineRule="auto"/>
              <w:rPr>
                <w:rFonts w:asciiTheme="minorHAnsi" w:eastAsia="Times New Roman" w:hAnsiTheme="minorHAnsi" w:cs="Helvetica"/>
                <w:color w:val="000000"/>
              </w:rPr>
            </w:pPr>
            <w:r w:rsidRPr="005F06F2">
              <w:rPr>
                <w:rFonts w:asciiTheme="minorHAnsi" w:eastAsia="Times New Roman" w:hAnsiTheme="minorHAnsi" w:cs="Helvetica"/>
                <w:color w:val="000000"/>
              </w:rPr>
              <w:t xml:space="preserve">9. </w:t>
            </w:r>
            <w:r w:rsidR="00A7585F">
              <w:rPr>
                <w:rFonts w:asciiTheme="minorHAnsi" w:eastAsia="Times New Roman" w:hAnsiTheme="minorHAnsi" w:cs="Helvetica"/>
                <w:color w:val="000000"/>
              </w:rPr>
              <w:t>S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 xml:space="preserve">ervice providers attend the 4 follow-up webinars expanding resources or sharing curricula on the year 1 training topics </w:t>
            </w:r>
            <w:r>
              <w:rPr>
                <w:rFonts w:asciiTheme="minorHAnsi" w:eastAsia="Times New Roman" w:hAnsiTheme="minorHAnsi" w:cs="Helvetica"/>
                <w:color w:val="000000"/>
              </w:rPr>
              <w:t xml:space="preserve">(n= </w:t>
            </w:r>
            <w:r w:rsidR="00A7585F">
              <w:rPr>
                <w:rFonts w:asciiTheme="minorHAnsi" w:eastAsia="Times New Roman" w:hAnsiTheme="minorHAnsi" w:cs="Helvetica"/>
                <w:color w:val="000000"/>
              </w:rPr>
              <w:t xml:space="preserve">38, 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 xml:space="preserve"> </w:t>
            </w:r>
            <w:r w:rsidR="00A7585F">
              <w:rPr>
                <w:rFonts w:asciiTheme="minorHAnsi" w:eastAsia="Times New Roman" w:hAnsiTheme="minorHAnsi" w:cs="Helvetica"/>
                <w:color w:val="000000"/>
              </w:rPr>
              <w:t>Oct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>’14</w:t>
            </w:r>
            <w:r w:rsidR="00DF2202">
              <w:rPr>
                <w:rFonts w:asciiTheme="minorHAnsi" w:eastAsia="Times New Roman" w:hAnsiTheme="minorHAnsi" w:cs="Helvetica"/>
                <w:color w:val="000000"/>
              </w:rPr>
              <w:t xml:space="preserve"> to ‘15</w:t>
            </w:r>
            <w:r w:rsidRPr="005F06F2">
              <w:rPr>
                <w:rFonts w:asciiTheme="minorHAnsi" w:eastAsia="Times New Roman" w:hAnsiTheme="minorHAnsi" w:cs="Helvetica"/>
                <w:color w:val="000000"/>
              </w:rPr>
              <w:t>)</w:t>
            </w:r>
          </w:p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A7585F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  <w:tr w:rsidR="006D7FC6" w:rsidRPr="00D55104" w:rsidTr="00190724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D7FC6" w:rsidRPr="00D55104" w:rsidTr="00190724">
        <w:trPr>
          <w:trHeight w:val="719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FC6" w:rsidRPr="00D55104" w:rsidRDefault="006D7FC6" w:rsidP="00AA4A5B">
            <w:pPr>
              <w:spacing w:after="0" w:line="240" w:lineRule="auto"/>
              <w:ind w:left="144" w:right="144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865186" w:rsidRDefault="00865186" w:rsidP="00190724">
      <w:bookmarkStart w:id="0" w:name="_GoBack"/>
      <w:bookmarkEnd w:id="0"/>
    </w:p>
    <w:sectPr w:rsidR="00865186" w:rsidSect="0095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C6"/>
    <w:rsid w:val="00190724"/>
    <w:rsid w:val="00196BFF"/>
    <w:rsid w:val="00324094"/>
    <w:rsid w:val="005F06F2"/>
    <w:rsid w:val="0064404E"/>
    <w:rsid w:val="006D7A25"/>
    <w:rsid w:val="006D7FC6"/>
    <w:rsid w:val="007F301A"/>
    <w:rsid w:val="0083292D"/>
    <w:rsid w:val="00865186"/>
    <w:rsid w:val="009336E1"/>
    <w:rsid w:val="00936EE2"/>
    <w:rsid w:val="00A10E7B"/>
    <w:rsid w:val="00A7585F"/>
    <w:rsid w:val="00AD313E"/>
    <w:rsid w:val="00DA5A15"/>
    <w:rsid w:val="00DF2202"/>
    <w:rsid w:val="00E40C71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B3717-2D2E-4E4B-B2D5-5237982F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FC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Matthew Maher</cp:lastModifiedBy>
  <cp:revision>5</cp:revision>
  <dcterms:created xsi:type="dcterms:W3CDTF">2014-12-18T19:54:00Z</dcterms:created>
  <dcterms:modified xsi:type="dcterms:W3CDTF">2014-12-23T16:57:00Z</dcterms:modified>
</cp:coreProperties>
</file>