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88" w:rsidRDefault="00EC025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5673" cy="2746867"/>
            <wp:effectExtent l="6101" t="6104" r="6101" b="6104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C0257" w:rsidRPr="00655D36" w:rsidRDefault="00EC0257" w:rsidP="00EC0257">
      <w:pPr>
        <w:spacing w:after="0" w:line="240" w:lineRule="auto"/>
        <w:ind w:left="720" w:firstLine="720"/>
        <w:jc w:val="both"/>
        <w:rPr>
          <w:rFonts w:ascii="Arial" w:hAnsi="Arial" w:cs="Arial"/>
          <w:noProof/>
          <w:sz w:val="20"/>
          <w:szCs w:val="20"/>
        </w:rPr>
      </w:pPr>
      <w:r w:rsidRPr="00655D36">
        <w:rPr>
          <w:rFonts w:ascii="Arial" w:hAnsi="Arial" w:cs="Arial"/>
          <w:noProof/>
          <w:sz w:val="20"/>
          <w:szCs w:val="20"/>
        </w:rPr>
        <w:t>Figure 1. Average visual rating as affected by N fertilizer application rate.</w:t>
      </w:r>
    </w:p>
    <w:p w:rsidR="00EC0257" w:rsidRPr="00655D36" w:rsidRDefault="00EC0257" w:rsidP="00EC0257">
      <w:pPr>
        <w:spacing w:after="0" w:line="240" w:lineRule="auto"/>
        <w:ind w:left="720" w:firstLine="720"/>
        <w:jc w:val="both"/>
        <w:rPr>
          <w:rFonts w:ascii="Arial" w:hAnsi="Arial" w:cs="Arial"/>
          <w:noProof/>
          <w:sz w:val="20"/>
          <w:szCs w:val="20"/>
        </w:rPr>
      </w:pPr>
    </w:p>
    <w:p w:rsidR="00EC0257" w:rsidRPr="00655D36" w:rsidRDefault="00EC0257" w:rsidP="00EC0257">
      <w:pPr>
        <w:spacing w:after="0" w:line="240" w:lineRule="auto"/>
        <w:ind w:left="720" w:firstLine="720"/>
        <w:jc w:val="both"/>
        <w:rPr>
          <w:rFonts w:ascii="Arial" w:hAnsi="Arial" w:cs="Arial"/>
          <w:noProof/>
          <w:sz w:val="20"/>
          <w:szCs w:val="20"/>
        </w:rPr>
      </w:pPr>
    </w:p>
    <w:p w:rsidR="00EC0257" w:rsidRPr="00655D36" w:rsidRDefault="00EC0257" w:rsidP="00EC025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5673" cy="2746867"/>
            <wp:effectExtent l="6101" t="6104" r="6101" b="6104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0257" w:rsidRPr="00655D36" w:rsidRDefault="00EC0257" w:rsidP="00EC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5D36">
        <w:rPr>
          <w:rFonts w:ascii="Arial" w:hAnsi="Arial" w:cs="Arial"/>
          <w:sz w:val="20"/>
          <w:szCs w:val="20"/>
        </w:rPr>
        <w:tab/>
      </w:r>
      <w:r w:rsidRPr="00655D36">
        <w:rPr>
          <w:rFonts w:ascii="Arial" w:hAnsi="Arial" w:cs="Arial"/>
          <w:sz w:val="20"/>
          <w:szCs w:val="20"/>
        </w:rPr>
        <w:tab/>
      </w:r>
      <w:proofErr w:type="gramStart"/>
      <w:r w:rsidRPr="00655D36">
        <w:rPr>
          <w:rFonts w:ascii="Arial" w:hAnsi="Arial" w:cs="Arial"/>
          <w:sz w:val="20"/>
          <w:szCs w:val="20"/>
        </w:rPr>
        <w:t>Figure 2.</w:t>
      </w:r>
      <w:proofErr w:type="gramEnd"/>
      <w:r w:rsidRPr="00655D36">
        <w:rPr>
          <w:rFonts w:ascii="Arial" w:hAnsi="Arial" w:cs="Arial"/>
          <w:sz w:val="20"/>
          <w:szCs w:val="20"/>
        </w:rPr>
        <w:t xml:space="preserve"> NDVI as affected by N fertilizer application rate.</w:t>
      </w:r>
    </w:p>
    <w:p w:rsidR="00EC0257" w:rsidRDefault="00EC0257"/>
    <w:sectPr w:rsidR="00EC0257" w:rsidSect="0077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0257"/>
    <w:rsid w:val="00770188"/>
    <w:rsid w:val="00EC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w\Desktop\Visual%20vs%20sensor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gaw\Desktop\Visual%20vs%20sensor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Visual vs N rate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0.23873250218722672"/>
                  <c:y val="-0.2040649606299213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-6E-06x</a:t>
                    </a:r>
                    <a:r>
                      <a:rPr lang="en-US" baseline="30000"/>
                      <a:t>2</a:t>
                    </a:r>
                    <a:r>
                      <a:rPr lang="en-US" baseline="0"/>
                      <a:t> + 0.018x + 1.3868</a:t>
                    </a:r>
                    <a:br>
                      <a:rPr lang="en-US" baseline="0"/>
                    </a:br>
                    <a:r>
                      <a:rPr lang="en-US" baseline="0"/>
                      <a:t>R² = 0.98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Sheet1!$C$28:$K$28</c:f>
              <c:numCache>
                <c:formatCode>General</c:formatCode>
                <c:ptCount val="9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  <c:pt idx="5">
                  <c:v>125</c:v>
                </c:pt>
                <c:pt idx="6">
                  <c:v>150</c:v>
                </c:pt>
                <c:pt idx="7">
                  <c:v>175</c:v>
                </c:pt>
                <c:pt idx="8">
                  <c:v>200</c:v>
                </c:pt>
              </c:numCache>
            </c:numRef>
          </c:xVal>
          <c:yVal>
            <c:numRef>
              <c:f>Sheet1!$C$26:$K$26</c:f>
              <c:numCache>
                <c:formatCode>0.0</c:formatCode>
                <c:ptCount val="9"/>
                <c:pt idx="0">
                  <c:v>1.5652173913043479</c:v>
                </c:pt>
                <c:pt idx="1">
                  <c:v>1.6086956521739126</c:v>
                </c:pt>
                <c:pt idx="2">
                  <c:v>2.3043478260869574</c:v>
                </c:pt>
                <c:pt idx="3">
                  <c:v>2.608695652173914</c:v>
                </c:pt>
                <c:pt idx="4">
                  <c:v>3.1304347826086967</c:v>
                </c:pt>
                <c:pt idx="5">
                  <c:v>3.5217391304347827</c:v>
                </c:pt>
                <c:pt idx="6">
                  <c:v>4.0869565217391308</c:v>
                </c:pt>
                <c:pt idx="7">
                  <c:v>4.4782608695652177</c:v>
                </c:pt>
                <c:pt idx="8">
                  <c:v>4.5652173913043494</c:v>
                </c:pt>
              </c:numCache>
            </c:numRef>
          </c:yVal>
        </c:ser>
        <c:axId val="59123968"/>
        <c:axId val="59133952"/>
      </c:scatterChart>
      <c:valAx>
        <c:axId val="59123968"/>
        <c:scaling>
          <c:orientation val="minMax"/>
          <c:max val="200"/>
          <c:min val="0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</a:t>
                </a:r>
                <a:r>
                  <a:rPr lang="en-US" baseline="0"/>
                  <a:t> rate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6638079615048139"/>
              <c:y val="0.9110877806940799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133952"/>
        <c:crosses val="autoZero"/>
        <c:crossBetween val="midCat"/>
        <c:majorUnit val="25"/>
      </c:valAx>
      <c:valAx>
        <c:axId val="59133952"/>
        <c:scaling>
          <c:orientation val="minMax"/>
          <c:min val="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Visual</a:t>
                </a:r>
                <a:r>
                  <a:rPr lang="en-US" baseline="0"/>
                  <a:t> rating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"/>
              <c:y val="0.3099227179935844"/>
            </c:manualLayout>
          </c:layout>
          <c:spPr>
            <a:noFill/>
            <a:ln>
              <a:noFill/>
            </a:ln>
            <a:effectLst/>
          </c:spPr>
        </c:title>
        <c:numFmt formatCode="0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123968"/>
        <c:crosses val="autoZero"/>
        <c:crossBetween val="midCat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NDVI</a:t>
            </a:r>
            <a:r>
              <a:rPr lang="en-US" baseline="0"/>
              <a:t> vs N rate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1"/>
            <c:dispEq val="1"/>
            <c:trendlineLbl>
              <c:layout>
                <c:manualLayout>
                  <c:x val="0.23873250218722672"/>
                  <c:y val="-0.2040649606299213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-1E-05x</a:t>
                    </a:r>
                    <a:r>
                      <a:rPr lang="en-US" baseline="30000"/>
                      <a:t>2</a:t>
                    </a:r>
                    <a:r>
                      <a:rPr lang="en-US" baseline="0"/>
                      <a:t> + 0.0036x + 0.384</a:t>
                    </a:r>
                    <a:br>
                      <a:rPr lang="en-US" baseline="0"/>
                    </a:br>
                    <a:r>
                      <a:rPr lang="en-US" baseline="0"/>
                      <a:t>R² = 0.94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Sheet1!$C$28:$K$28</c:f>
              <c:numCache>
                <c:formatCode>General</c:formatCode>
                <c:ptCount val="9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  <c:pt idx="5">
                  <c:v>125</c:v>
                </c:pt>
                <c:pt idx="6">
                  <c:v>150</c:v>
                </c:pt>
                <c:pt idx="7">
                  <c:v>175</c:v>
                </c:pt>
                <c:pt idx="8">
                  <c:v>200</c:v>
                </c:pt>
              </c:numCache>
            </c:numRef>
          </c:xVal>
          <c:yVal>
            <c:numRef>
              <c:f>Sheet1!$C$27:$K$27</c:f>
              <c:numCache>
                <c:formatCode>0.00</c:formatCode>
                <c:ptCount val="9"/>
                <c:pt idx="0">
                  <c:v>0.38000000000000012</c:v>
                </c:pt>
                <c:pt idx="1">
                  <c:v>0.45</c:v>
                </c:pt>
                <c:pt idx="2">
                  <c:v>0.54</c:v>
                </c:pt>
                <c:pt idx="3">
                  <c:v>0.6000000000000002</c:v>
                </c:pt>
                <c:pt idx="4">
                  <c:v>0.63000000000000023</c:v>
                </c:pt>
                <c:pt idx="5">
                  <c:v>0.6000000000000002</c:v>
                </c:pt>
                <c:pt idx="6">
                  <c:v>0.61000000000000021</c:v>
                </c:pt>
                <c:pt idx="7">
                  <c:v>0.59</c:v>
                </c:pt>
                <c:pt idx="8">
                  <c:v>0.6000000000000002</c:v>
                </c:pt>
              </c:numCache>
            </c:numRef>
          </c:yVal>
        </c:ser>
        <c:axId val="82773504"/>
        <c:axId val="82775424"/>
      </c:scatterChart>
      <c:valAx>
        <c:axId val="82773504"/>
        <c:scaling>
          <c:orientation val="minMax"/>
          <c:max val="200"/>
          <c:min val="0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</a:t>
                </a:r>
                <a:r>
                  <a:rPr lang="en-US" baseline="0"/>
                  <a:t> rate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6638079615048139"/>
              <c:y val="0.9110877806940799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775424"/>
        <c:crosses val="autoZero"/>
        <c:crossBetween val="midCat"/>
        <c:majorUnit val="25"/>
      </c:valAx>
      <c:valAx>
        <c:axId val="82775424"/>
        <c:scaling>
          <c:orientation val="minMax"/>
          <c:min val="0.30000000000000016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NDVI</a:t>
                </a:r>
              </a:p>
            </c:rich>
          </c:tx>
          <c:layout>
            <c:manualLayout>
              <c:xMode val="edge"/>
              <c:yMode val="edge"/>
              <c:x val="2.7777777777777809E-3"/>
              <c:y val="0.42103382910469533"/>
            </c:manualLayout>
          </c:layout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7735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Toshiba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Stacie</cp:lastModifiedBy>
  <cp:revision>1</cp:revision>
  <dcterms:created xsi:type="dcterms:W3CDTF">2015-02-13T18:08:00Z</dcterms:created>
  <dcterms:modified xsi:type="dcterms:W3CDTF">2015-02-13T18:16:00Z</dcterms:modified>
</cp:coreProperties>
</file>