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92" w:rsidRDefault="006F4F92">
      <w:r>
        <w:t xml:space="preserve">Table </w:t>
      </w:r>
      <w:r w:rsidR="00CC3050">
        <w:t>3</w:t>
      </w:r>
      <w:r>
        <w:t xml:space="preserve">.  </w:t>
      </w:r>
      <w:r w:rsidR="00CC3050">
        <w:t>Total y</w:t>
      </w:r>
      <w:r w:rsidR="00231578">
        <w:t>ield (pounds) of shiitake mushrooms harvested from oak or tallow logs produc</w:t>
      </w:r>
      <w:r w:rsidR="00CC3050">
        <w:t>ed</w:t>
      </w:r>
      <w:r w:rsidR="00231578">
        <w:t xml:space="preserve"> at each collaborating farm during the </w:t>
      </w:r>
      <w:r w:rsidR="00CC3050">
        <w:t xml:space="preserve">specific </w:t>
      </w:r>
      <w:r w:rsidR="00231578">
        <w:t xml:space="preserve">harvest period for the two years of study, and income obtained from the sale of the shiitake mushrooms at Farmer’s Markets.  Harvest periods began when the nights began to cool in the fall and ended with warmer nights in late spring; generally from October through March.  Shiitake mushrooms at Farmer’s Markets </w:t>
      </w:r>
      <w:r w:rsidR="00CC3050">
        <w:t xml:space="preserve">were </w:t>
      </w:r>
      <w:r w:rsidR="00231578">
        <w:t>sold at $16/pound</w:t>
      </w:r>
      <w:r w:rsidR="00CC3050">
        <w:t xml:space="preserve"> during both years</w:t>
      </w:r>
      <w:r w:rsidR="00231578">
        <w:t xml:space="preserve">. </w:t>
      </w:r>
    </w:p>
    <w:p w:rsidR="006F4F92" w:rsidRDefault="006F4F92"/>
    <w:tbl>
      <w:tblPr>
        <w:tblW w:w="12420" w:type="dxa"/>
        <w:tblInd w:w="-180" w:type="dxa"/>
        <w:tblLook w:val="04A0" w:firstRow="1" w:lastRow="0" w:firstColumn="1" w:lastColumn="0" w:noHBand="0" w:noVBand="1"/>
      </w:tblPr>
      <w:tblGrid>
        <w:gridCol w:w="1530"/>
        <w:gridCol w:w="1381"/>
        <w:gridCol w:w="1299"/>
        <w:gridCol w:w="1280"/>
        <w:gridCol w:w="1170"/>
        <w:gridCol w:w="1350"/>
        <w:gridCol w:w="1440"/>
        <w:gridCol w:w="1440"/>
        <w:gridCol w:w="1530"/>
      </w:tblGrid>
      <w:tr w:rsidR="00231578" w:rsidRPr="006F4F92" w:rsidTr="0080517B">
        <w:trPr>
          <w:trHeight w:val="525"/>
        </w:trPr>
        <w:tc>
          <w:tcPr>
            <w:tcW w:w="1530" w:type="dxa"/>
            <w:tcBorders>
              <w:top w:val="nil"/>
              <w:left w:val="nil"/>
              <w:bottom w:val="single" w:sz="4" w:space="0" w:color="auto"/>
            </w:tcBorders>
            <w:shd w:val="clear" w:color="auto" w:fill="auto"/>
            <w:noWrap/>
            <w:vAlign w:val="center"/>
            <w:hideMark/>
          </w:tcPr>
          <w:p w:rsidR="00231578" w:rsidRPr="006F4F92" w:rsidRDefault="00231578" w:rsidP="00231578">
            <w:pPr>
              <w:jc w:val="center"/>
              <w:rPr>
                <w:rFonts w:eastAsia="Times New Roman"/>
                <w:color w:val="000000"/>
              </w:rPr>
            </w:pPr>
            <w:r w:rsidRPr="006F4F92">
              <w:rPr>
                <w:rFonts w:eastAsia="Times New Roman"/>
                <w:color w:val="000000"/>
              </w:rPr>
              <w:t>F</w:t>
            </w:r>
            <w:r>
              <w:rPr>
                <w:rFonts w:eastAsia="Times New Roman"/>
                <w:color w:val="000000"/>
              </w:rPr>
              <w:t>arm</w:t>
            </w:r>
          </w:p>
        </w:tc>
        <w:tc>
          <w:tcPr>
            <w:tcW w:w="1381" w:type="dxa"/>
            <w:tcBorders>
              <w:top w:val="nil"/>
              <w:left w:val="nil"/>
              <w:bottom w:val="single" w:sz="4" w:space="0" w:color="auto"/>
              <w:right w:val="nil"/>
            </w:tcBorders>
            <w:shd w:val="clear" w:color="auto" w:fill="auto"/>
            <w:noWrap/>
            <w:vAlign w:val="center"/>
            <w:hideMark/>
          </w:tcPr>
          <w:p w:rsidR="00231578" w:rsidRPr="006F4F92" w:rsidRDefault="00231578" w:rsidP="00231578">
            <w:pPr>
              <w:jc w:val="center"/>
              <w:rPr>
                <w:rFonts w:eastAsia="Times New Roman"/>
                <w:color w:val="000000"/>
              </w:rPr>
            </w:pPr>
            <w:r w:rsidRPr="006F4F92">
              <w:rPr>
                <w:rFonts w:eastAsia="Times New Roman"/>
                <w:color w:val="000000"/>
              </w:rPr>
              <w:t xml:space="preserve">Harvest </w:t>
            </w:r>
            <w:r>
              <w:rPr>
                <w:rFonts w:eastAsia="Times New Roman"/>
                <w:color w:val="000000"/>
              </w:rPr>
              <w:t>p</w:t>
            </w:r>
            <w:r w:rsidRPr="006F4F92">
              <w:rPr>
                <w:rFonts w:eastAsia="Times New Roman"/>
                <w:color w:val="000000"/>
              </w:rPr>
              <w:t>eriod</w:t>
            </w:r>
          </w:p>
        </w:tc>
        <w:tc>
          <w:tcPr>
            <w:tcW w:w="1299" w:type="dxa"/>
            <w:tcBorders>
              <w:top w:val="nil"/>
              <w:left w:val="nil"/>
              <w:bottom w:val="single" w:sz="4" w:space="0" w:color="auto"/>
              <w:right w:val="nil"/>
            </w:tcBorders>
          </w:tcPr>
          <w:p w:rsidR="00231578" w:rsidRPr="006F4F92" w:rsidRDefault="00231578" w:rsidP="00231578">
            <w:pPr>
              <w:jc w:val="center"/>
              <w:rPr>
                <w:rFonts w:eastAsia="Times New Roman"/>
                <w:color w:val="000000"/>
              </w:rPr>
            </w:pPr>
            <w:r>
              <w:rPr>
                <w:rFonts w:eastAsia="Times New Roman"/>
                <w:color w:val="000000"/>
              </w:rPr>
              <w:t>Number of producing oak logs</w:t>
            </w:r>
          </w:p>
        </w:tc>
        <w:tc>
          <w:tcPr>
            <w:tcW w:w="1280" w:type="dxa"/>
            <w:tcBorders>
              <w:top w:val="nil"/>
              <w:left w:val="nil"/>
              <w:bottom w:val="single" w:sz="4" w:space="0" w:color="auto"/>
              <w:right w:val="nil"/>
            </w:tcBorders>
          </w:tcPr>
          <w:p w:rsidR="00231578" w:rsidRPr="006F4F92" w:rsidRDefault="00231578" w:rsidP="0080517B">
            <w:pPr>
              <w:jc w:val="center"/>
              <w:rPr>
                <w:rFonts w:eastAsia="Times New Roman"/>
                <w:color w:val="000000"/>
              </w:rPr>
            </w:pPr>
            <w:r>
              <w:rPr>
                <w:rFonts w:eastAsia="Times New Roman"/>
                <w:color w:val="000000"/>
              </w:rPr>
              <w:t xml:space="preserve">Number of producing tallow </w:t>
            </w:r>
            <w:r w:rsidR="0080517B">
              <w:rPr>
                <w:rFonts w:eastAsia="Times New Roman"/>
                <w:color w:val="000000"/>
              </w:rPr>
              <w:t>l</w:t>
            </w:r>
            <w:r>
              <w:rPr>
                <w:rFonts w:eastAsia="Times New Roman"/>
                <w:color w:val="000000"/>
              </w:rPr>
              <w:t>ogs</w:t>
            </w:r>
          </w:p>
        </w:tc>
        <w:tc>
          <w:tcPr>
            <w:tcW w:w="1170"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Oak (</w:t>
            </w:r>
            <w:proofErr w:type="spellStart"/>
            <w:r w:rsidRPr="006F4F92">
              <w:rPr>
                <w:rFonts w:eastAsia="Times New Roman"/>
                <w:color w:val="000000"/>
              </w:rPr>
              <w:t>lbs</w:t>
            </w:r>
            <w:proofErr w:type="spellEnd"/>
            <w:r w:rsidRPr="006F4F92">
              <w:rPr>
                <w:rFonts w:eastAsia="Times New Roman"/>
                <w:color w:val="000000"/>
              </w:rPr>
              <w:t>)</w:t>
            </w:r>
          </w:p>
        </w:tc>
        <w:tc>
          <w:tcPr>
            <w:tcW w:w="1350"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OAK $</w:t>
            </w:r>
          </w:p>
        </w:tc>
        <w:tc>
          <w:tcPr>
            <w:tcW w:w="1440"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Tallow (</w:t>
            </w:r>
            <w:proofErr w:type="spellStart"/>
            <w:r w:rsidRPr="006F4F92">
              <w:rPr>
                <w:rFonts w:eastAsia="Times New Roman"/>
                <w:color w:val="000000"/>
              </w:rPr>
              <w:t>lb</w:t>
            </w:r>
            <w:proofErr w:type="spellEnd"/>
            <w:r w:rsidRPr="006F4F92">
              <w:rPr>
                <w:rFonts w:eastAsia="Times New Roman"/>
                <w:color w:val="000000"/>
              </w:rPr>
              <w:t>)</w:t>
            </w:r>
          </w:p>
        </w:tc>
        <w:tc>
          <w:tcPr>
            <w:tcW w:w="1440"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TALLOW $</w:t>
            </w:r>
          </w:p>
        </w:tc>
        <w:tc>
          <w:tcPr>
            <w:tcW w:w="1530"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TOTAL INCOME</w:t>
            </w:r>
          </w:p>
        </w:tc>
      </w:tr>
      <w:tr w:rsidR="00231578" w:rsidRPr="006F4F92" w:rsidTr="00A337C1">
        <w:trPr>
          <w:trHeight w:val="525"/>
        </w:trPr>
        <w:tc>
          <w:tcPr>
            <w:tcW w:w="1530" w:type="dxa"/>
            <w:tcBorders>
              <w:top w:val="single" w:sz="4" w:space="0" w:color="auto"/>
              <w:left w:val="nil"/>
              <w:bottom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F</w:t>
            </w:r>
            <w:r>
              <w:rPr>
                <w:rFonts w:eastAsia="Times New Roman"/>
                <w:color w:val="000000"/>
              </w:rPr>
              <w:t>ull</w:t>
            </w:r>
            <w:r w:rsidRPr="006F4F92">
              <w:rPr>
                <w:rFonts w:eastAsia="Times New Roman"/>
                <w:color w:val="000000"/>
              </w:rPr>
              <w:t xml:space="preserve"> E</w:t>
            </w:r>
            <w:r>
              <w:rPr>
                <w:rFonts w:eastAsia="Times New Roman"/>
                <w:color w:val="000000"/>
              </w:rPr>
              <w:t>arth</w:t>
            </w:r>
          </w:p>
        </w:tc>
        <w:tc>
          <w:tcPr>
            <w:tcW w:w="1381" w:type="dxa"/>
            <w:tcBorders>
              <w:top w:val="single" w:sz="4" w:space="0" w:color="auto"/>
              <w:left w:val="nil"/>
              <w:bottom w:val="nil"/>
              <w:right w:val="nil"/>
            </w:tcBorders>
            <w:shd w:val="clear" w:color="auto" w:fill="auto"/>
            <w:vAlign w:val="center"/>
            <w:hideMark/>
          </w:tcPr>
          <w:p w:rsidR="00231578" w:rsidRPr="006F4F92" w:rsidRDefault="00231578" w:rsidP="006F4F92">
            <w:pPr>
              <w:jc w:val="center"/>
              <w:rPr>
                <w:rFonts w:eastAsia="Times New Roman"/>
                <w:color w:val="000000"/>
              </w:rPr>
            </w:pPr>
            <w:r w:rsidRPr="006F4F92">
              <w:rPr>
                <w:rFonts w:eastAsia="Times New Roman"/>
                <w:color w:val="000000"/>
              </w:rPr>
              <w:t>2015-2016</w:t>
            </w:r>
          </w:p>
        </w:tc>
        <w:tc>
          <w:tcPr>
            <w:tcW w:w="1299" w:type="dxa"/>
            <w:tcBorders>
              <w:top w:val="single" w:sz="4" w:space="0" w:color="auto"/>
              <w:left w:val="nil"/>
              <w:bottom w:val="nil"/>
              <w:right w:val="nil"/>
            </w:tcBorders>
            <w:vAlign w:val="center"/>
          </w:tcPr>
          <w:p w:rsidR="00231578" w:rsidRPr="006F4F92" w:rsidRDefault="00394EAD" w:rsidP="00A337C1">
            <w:pPr>
              <w:jc w:val="center"/>
              <w:rPr>
                <w:rFonts w:eastAsia="Times New Roman"/>
                <w:color w:val="000000"/>
              </w:rPr>
            </w:pPr>
            <w:r>
              <w:rPr>
                <w:rFonts w:eastAsia="Times New Roman"/>
                <w:color w:val="000000"/>
              </w:rPr>
              <w:t>18</w:t>
            </w:r>
          </w:p>
        </w:tc>
        <w:tc>
          <w:tcPr>
            <w:tcW w:w="1280" w:type="dxa"/>
            <w:tcBorders>
              <w:top w:val="single" w:sz="4" w:space="0" w:color="auto"/>
              <w:left w:val="nil"/>
              <w:bottom w:val="nil"/>
              <w:right w:val="nil"/>
            </w:tcBorders>
            <w:vAlign w:val="center"/>
          </w:tcPr>
          <w:p w:rsidR="00231578" w:rsidRPr="006F4F92" w:rsidRDefault="00394EAD" w:rsidP="00A337C1">
            <w:pPr>
              <w:jc w:val="center"/>
              <w:rPr>
                <w:rFonts w:eastAsia="Times New Roman"/>
                <w:color w:val="000000"/>
              </w:rPr>
            </w:pPr>
            <w:r>
              <w:rPr>
                <w:rFonts w:eastAsia="Times New Roman"/>
                <w:color w:val="000000"/>
              </w:rPr>
              <w:t>11</w:t>
            </w:r>
          </w:p>
        </w:tc>
        <w:tc>
          <w:tcPr>
            <w:tcW w:w="1170" w:type="dxa"/>
            <w:tcBorders>
              <w:top w:val="single" w:sz="4" w:space="0" w:color="auto"/>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14.8</w:t>
            </w:r>
            <w:r>
              <w:rPr>
                <w:rFonts w:eastAsia="Times New Roman"/>
                <w:color w:val="000000"/>
              </w:rPr>
              <w:t>1</w:t>
            </w:r>
          </w:p>
        </w:tc>
        <w:tc>
          <w:tcPr>
            <w:tcW w:w="1350" w:type="dxa"/>
            <w:tcBorders>
              <w:top w:val="single" w:sz="4" w:space="0" w:color="auto"/>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$236.95</w:t>
            </w:r>
          </w:p>
        </w:tc>
        <w:tc>
          <w:tcPr>
            <w:tcW w:w="1440" w:type="dxa"/>
            <w:tcBorders>
              <w:top w:val="single" w:sz="4" w:space="0" w:color="auto"/>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5.46</w:t>
            </w:r>
          </w:p>
        </w:tc>
        <w:tc>
          <w:tcPr>
            <w:tcW w:w="1440" w:type="dxa"/>
            <w:tcBorders>
              <w:top w:val="single" w:sz="4" w:space="0" w:color="auto"/>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$87.38</w:t>
            </w:r>
          </w:p>
        </w:tc>
        <w:tc>
          <w:tcPr>
            <w:tcW w:w="1530" w:type="dxa"/>
            <w:tcBorders>
              <w:top w:val="single" w:sz="4" w:space="0" w:color="auto"/>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$324.33</w:t>
            </w:r>
          </w:p>
        </w:tc>
      </w:tr>
      <w:tr w:rsidR="00231578" w:rsidRPr="006F4F92" w:rsidTr="00A337C1">
        <w:trPr>
          <w:trHeight w:val="525"/>
        </w:trPr>
        <w:tc>
          <w:tcPr>
            <w:tcW w:w="1530" w:type="dxa"/>
            <w:tcBorders>
              <w:top w:val="nil"/>
              <w:left w:val="nil"/>
              <w:bottom w:val="nil"/>
            </w:tcBorders>
            <w:shd w:val="clear" w:color="auto" w:fill="auto"/>
            <w:noWrap/>
            <w:vAlign w:val="center"/>
            <w:hideMark/>
          </w:tcPr>
          <w:p w:rsidR="00231578" w:rsidRPr="006F4F92" w:rsidRDefault="00231578" w:rsidP="006F4F92">
            <w:pPr>
              <w:jc w:val="center"/>
              <w:rPr>
                <w:rFonts w:eastAsia="Times New Roman"/>
                <w:color w:val="000000"/>
              </w:rPr>
            </w:pPr>
            <w:r>
              <w:rPr>
                <w:rFonts w:eastAsia="Times New Roman"/>
                <w:color w:val="000000"/>
              </w:rPr>
              <w:t>Full</w:t>
            </w:r>
            <w:r w:rsidRPr="006F4F92">
              <w:rPr>
                <w:rFonts w:eastAsia="Times New Roman"/>
                <w:color w:val="000000"/>
              </w:rPr>
              <w:t xml:space="preserve"> E</w:t>
            </w:r>
            <w:r>
              <w:rPr>
                <w:rFonts w:eastAsia="Times New Roman"/>
                <w:color w:val="000000"/>
              </w:rPr>
              <w:t>arth</w:t>
            </w:r>
          </w:p>
        </w:tc>
        <w:tc>
          <w:tcPr>
            <w:tcW w:w="1381" w:type="dxa"/>
            <w:tcBorders>
              <w:top w:val="nil"/>
              <w:left w:val="nil"/>
              <w:bottom w:val="nil"/>
              <w:right w:val="nil"/>
            </w:tcBorders>
            <w:shd w:val="clear" w:color="auto" w:fill="auto"/>
            <w:vAlign w:val="center"/>
            <w:hideMark/>
          </w:tcPr>
          <w:p w:rsidR="00231578" w:rsidRPr="006F4F92" w:rsidRDefault="00231578" w:rsidP="006F4F92">
            <w:pPr>
              <w:jc w:val="center"/>
              <w:rPr>
                <w:rFonts w:eastAsia="Times New Roman"/>
                <w:color w:val="000000"/>
              </w:rPr>
            </w:pPr>
            <w:r w:rsidRPr="006F4F92">
              <w:rPr>
                <w:rFonts w:eastAsia="Times New Roman"/>
                <w:color w:val="000000"/>
              </w:rPr>
              <w:t>2016-2017</w:t>
            </w:r>
          </w:p>
        </w:tc>
        <w:tc>
          <w:tcPr>
            <w:tcW w:w="1299" w:type="dxa"/>
            <w:tcBorders>
              <w:top w:val="nil"/>
              <w:left w:val="nil"/>
              <w:bottom w:val="nil"/>
              <w:right w:val="nil"/>
            </w:tcBorders>
            <w:vAlign w:val="center"/>
          </w:tcPr>
          <w:p w:rsidR="00231578" w:rsidRPr="006F4F92" w:rsidRDefault="00394EAD" w:rsidP="00A337C1">
            <w:pPr>
              <w:jc w:val="center"/>
              <w:rPr>
                <w:rFonts w:eastAsia="Times New Roman"/>
                <w:color w:val="000000"/>
              </w:rPr>
            </w:pPr>
            <w:r>
              <w:rPr>
                <w:rFonts w:eastAsia="Times New Roman"/>
                <w:color w:val="000000"/>
              </w:rPr>
              <w:t>56</w:t>
            </w:r>
          </w:p>
        </w:tc>
        <w:tc>
          <w:tcPr>
            <w:tcW w:w="1280" w:type="dxa"/>
            <w:tcBorders>
              <w:top w:val="nil"/>
              <w:left w:val="nil"/>
              <w:bottom w:val="nil"/>
              <w:right w:val="nil"/>
            </w:tcBorders>
            <w:vAlign w:val="center"/>
          </w:tcPr>
          <w:p w:rsidR="00231578" w:rsidRPr="006F4F92" w:rsidRDefault="00394EAD" w:rsidP="00A337C1">
            <w:pPr>
              <w:jc w:val="center"/>
              <w:rPr>
                <w:rFonts w:eastAsia="Times New Roman"/>
                <w:color w:val="000000"/>
              </w:rPr>
            </w:pPr>
            <w:r>
              <w:rPr>
                <w:rFonts w:eastAsia="Times New Roman"/>
                <w:color w:val="000000"/>
              </w:rPr>
              <w:t>50</w:t>
            </w:r>
          </w:p>
        </w:tc>
        <w:tc>
          <w:tcPr>
            <w:tcW w:w="117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125.54</w:t>
            </w:r>
          </w:p>
        </w:tc>
        <w:tc>
          <w:tcPr>
            <w:tcW w:w="135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$2,008.67</w:t>
            </w:r>
          </w:p>
        </w:tc>
        <w:tc>
          <w:tcPr>
            <w:tcW w:w="144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53.84</w:t>
            </w:r>
          </w:p>
        </w:tc>
        <w:tc>
          <w:tcPr>
            <w:tcW w:w="144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$861.39</w:t>
            </w:r>
          </w:p>
        </w:tc>
        <w:tc>
          <w:tcPr>
            <w:tcW w:w="153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$2,870.06</w:t>
            </w:r>
          </w:p>
        </w:tc>
      </w:tr>
      <w:tr w:rsidR="00231578" w:rsidRPr="006F4F92" w:rsidTr="00A337C1">
        <w:trPr>
          <w:trHeight w:val="525"/>
        </w:trPr>
        <w:tc>
          <w:tcPr>
            <w:tcW w:w="1530" w:type="dxa"/>
            <w:tcBorders>
              <w:top w:val="nil"/>
              <w:left w:val="nil"/>
              <w:bottom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Little Eden</w:t>
            </w:r>
          </w:p>
        </w:tc>
        <w:tc>
          <w:tcPr>
            <w:tcW w:w="1381" w:type="dxa"/>
            <w:tcBorders>
              <w:top w:val="nil"/>
              <w:left w:val="nil"/>
              <w:bottom w:val="nil"/>
              <w:right w:val="nil"/>
            </w:tcBorders>
            <w:shd w:val="clear" w:color="auto" w:fill="auto"/>
            <w:vAlign w:val="center"/>
            <w:hideMark/>
          </w:tcPr>
          <w:p w:rsidR="00231578" w:rsidRPr="006F4F92" w:rsidRDefault="00231578" w:rsidP="006F4F92">
            <w:pPr>
              <w:jc w:val="center"/>
              <w:rPr>
                <w:rFonts w:eastAsia="Times New Roman"/>
                <w:color w:val="000000"/>
              </w:rPr>
            </w:pPr>
            <w:r w:rsidRPr="006F4F92">
              <w:rPr>
                <w:rFonts w:eastAsia="Times New Roman"/>
                <w:color w:val="000000"/>
              </w:rPr>
              <w:t>2015-2016</w:t>
            </w:r>
          </w:p>
        </w:tc>
        <w:tc>
          <w:tcPr>
            <w:tcW w:w="1299" w:type="dxa"/>
            <w:tcBorders>
              <w:top w:val="nil"/>
              <w:left w:val="nil"/>
              <w:bottom w:val="nil"/>
              <w:right w:val="nil"/>
            </w:tcBorders>
            <w:vAlign w:val="center"/>
          </w:tcPr>
          <w:p w:rsidR="00231578" w:rsidRPr="006F4F92" w:rsidRDefault="00394EAD" w:rsidP="00A337C1">
            <w:pPr>
              <w:jc w:val="center"/>
              <w:rPr>
                <w:rFonts w:eastAsia="Times New Roman"/>
                <w:color w:val="000000"/>
              </w:rPr>
            </w:pPr>
            <w:r>
              <w:rPr>
                <w:rFonts w:eastAsia="Times New Roman"/>
                <w:color w:val="000000"/>
              </w:rPr>
              <w:t>19</w:t>
            </w:r>
          </w:p>
        </w:tc>
        <w:tc>
          <w:tcPr>
            <w:tcW w:w="1280" w:type="dxa"/>
            <w:tcBorders>
              <w:top w:val="nil"/>
              <w:left w:val="nil"/>
              <w:bottom w:val="nil"/>
              <w:right w:val="nil"/>
            </w:tcBorders>
            <w:vAlign w:val="center"/>
          </w:tcPr>
          <w:p w:rsidR="00231578" w:rsidRPr="006F4F92" w:rsidRDefault="00394EAD" w:rsidP="00A337C1">
            <w:pPr>
              <w:jc w:val="center"/>
              <w:rPr>
                <w:rFonts w:eastAsia="Times New Roman"/>
                <w:color w:val="000000"/>
              </w:rPr>
            </w:pPr>
            <w:r>
              <w:rPr>
                <w:rFonts w:eastAsia="Times New Roman"/>
                <w:color w:val="000000"/>
              </w:rPr>
              <w:t>18</w:t>
            </w:r>
          </w:p>
        </w:tc>
        <w:tc>
          <w:tcPr>
            <w:tcW w:w="117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51.</w:t>
            </w:r>
            <w:r>
              <w:rPr>
                <w:rFonts w:eastAsia="Times New Roman"/>
                <w:color w:val="000000"/>
              </w:rPr>
              <w:t>50</w:t>
            </w:r>
          </w:p>
        </w:tc>
        <w:tc>
          <w:tcPr>
            <w:tcW w:w="135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$823.98</w:t>
            </w:r>
          </w:p>
        </w:tc>
        <w:tc>
          <w:tcPr>
            <w:tcW w:w="144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24.58</w:t>
            </w:r>
          </w:p>
        </w:tc>
        <w:tc>
          <w:tcPr>
            <w:tcW w:w="144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$393.25</w:t>
            </w:r>
          </w:p>
        </w:tc>
        <w:tc>
          <w:tcPr>
            <w:tcW w:w="153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$1,217.23</w:t>
            </w:r>
          </w:p>
        </w:tc>
      </w:tr>
      <w:tr w:rsidR="00231578" w:rsidRPr="006F4F92" w:rsidTr="00A337C1">
        <w:trPr>
          <w:trHeight w:val="525"/>
        </w:trPr>
        <w:tc>
          <w:tcPr>
            <w:tcW w:w="1530" w:type="dxa"/>
            <w:tcBorders>
              <w:top w:val="nil"/>
              <w:left w:val="nil"/>
              <w:bottom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Little Eden</w:t>
            </w:r>
          </w:p>
        </w:tc>
        <w:tc>
          <w:tcPr>
            <w:tcW w:w="1381" w:type="dxa"/>
            <w:tcBorders>
              <w:top w:val="nil"/>
              <w:left w:val="nil"/>
              <w:bottom w:val="nil"/>
              <w:right w:val="nil"/>
            </w:tcBorders>
            <w:shd w:val="clear" w:color="auto" w:fill="auto"/>
            <w:vAlign w:val="center"/>
            <w:hideMark/>
          </w:tcPr>
          <w:p w:rsidR="00231578" w:rsidRPr="006F4F92" w:rsidRDefault="00231578" w:rsidP="006F4F92">
            <w:pPr>
              <w:jc w:val="center"/>
              <w:rPr>
                <w:rFonts w:eastAsia="Times New Roman"/>
                <w:color w:val="000000"/>
              </w:rPr>
            </w:pPr>
            <w:r w:rsidRPr="006F4F92">
              <w:rPr>
                <w:rFonts w:eastAsia="Times New Roman"/>
                <w:color w:val="000000"/>
              </w:rPr>
              <w:t>2016-2017</w:t>
            </w:r>
          </w:p>
        </w:tc>
        <w:tc>
          <w:tcPr>
            <w:tcW w:w="1299" w:type="dxa"/>
            <w:tcBorders>
              <w:top w:val="nil"/>
              <w:left w:val="nil"/>
              <w:bottom w:val="nil"/>
              <w:right w:val="nil"/>
            </w:tcBorders>
            <w:vAlign w:val="center"/>
          </w:tcPr>
          <w:p w:rsidR="00231578" w:rsidRPr="006F4F92" w:rsidRDefault="00394EAD" w:rsidP="00A337C1">
            <w:pPr>
              <w:jc w:val="center"/>
              <w:rPr>
                <w:rFonts w:eastAsia="Times New Roman"/>
                <w:color w:val="000000"/>
              </w:rPr>
            </w:pPr>
            <w:r>
              <w:rPr>
                <w:rFonts w:eastAsia="Times New Roman"/>
                <w:color w:val="000000"/>
              </w:rPr>
              <w:t>56</w:t>
            </w:r>
          </w:p>
        </w:tc>
        <w:tc>
          <w:tcPr>
            <w:tcW w:w="1280" w:type="dxa"/>
            <w:tcBorders>
              <w:top w:val="nil"/>
              <w:left w:val="nil"/>
              <w:bottom w:val="nil"/>
              <w:right w:val="nil"/>
            </w:tcBorders>
            <w:vAlign w:val="center"/>
          </w:tcPr>
          <w:p w:rsidR="00231578" w:rsidRPr="006F4F92" w:rsidRDefault="00394EAD" w:rsidP="00A337C1">
            <w:pPr>
              <w:jc w:val="center"/>
              <w:rPr>
                <w:rFonts w:eastAsia="Times New Roman"/>
                <w:color w:val="000000"/>
              </w:rPr>
            </w:pPr>
            <w:r>
              <w:rPr>
                <w:rFonts w:eastAsia="Times New Roman"/>
                <w:color w:val="000000"/>
              </w:rPr>
              <w:t>55</w:t>
            </w:r>
          </w:p>
        </w:tc>
        <w:tc>
          <w:tcPr>
            <w:tcW w:w="117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72.2</w:t>
            </w:r>
            <w:r>
              <w:rPr>
                <w:rFonts w:eastAsia="Times New Roman"/>
                <w:color w:val="000000"/>
              </w:rPr>
              <w:t>5</w:t>
            </w:r>
          </w:p>
        </w:tc>
        <w:tc>
          <w:tcPr>
            <w:tcW w:w="135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$1,155.99</w:t>
            </w:r>
          </w:p>
        </w:tc>
        <w:tc>
          <w:tcPr>
            <w:tcW w:w="144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25.90</w:t>
            </w:r>
          </w:p>
        </w:tc>
        <w:tc>
          <w:tcPr>
            <w:tcW w:w="144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$414.35</w:t>
            </w:r>
          </w:p>
        </w:tc>
        <w:tc>
          <w:tcPr>
            <w:tcW w:w="1530" w:type="dxa"/>
            <w:tcBorders>
              <w:top w:val="nil"/>
              <w:left w:val="nil"/>
              <w:bottom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$1,570.34</w:t>
            </w:r>
          </w:p>
        </w:tc>
      </w:tr>
      <w:tr w:rsidR="00231578" w:rsidRPr="006F4F92" w:rsidTr="00A337C1">
        <w:trPr>
          <w:trHeight w:val="525"/>
        </w:trPr>
        <w:tc>
          <w:tcPr>
            <w:tcW w:w="1530" w:type="dxa"/>
            <w:tcBorders>
              <w:top w:val="nil"/>
              <w:left w:val="nil"/>
            </w:tcBorders>
            <w:shd w:val="clear" w:color="auto" w:fill="auto"/>
            <w:noWrap/>
            <w:vAlign w:val="center"/>
            <w:hideMark/>
          </w:tcPr>
          <w:p w:rsidR="00231578" w:rsidRPr="006F4F92" w:rsidRDefault="00231578" w:rsidP="006F4F92">
            <w:pPr>
              <w:jc w:val="center"/>
              <w:rPr>
                <w:rFonts w:eastAsia="Times New Roman"/>
                <w:color w:val="000000"/>
              </w:rPr>
            </w:pPr>
            <w:proofErr w:type="spellStart"/>
            <w:r w:rsidRPr="006F4F92">
              <w:rPr>
                <w:rFonts w:eastAsia="Times New Roman"/>
                <w:color w:val="000000"/>
              </w:rPr>
              <w:t>Artzi</w:t>
            </w:r>
            <w:proofErr w:type="spellEnd"/>
          </w:p>
        </w:tc>
        <w:tc>
          <w:tcPr>
            <w:tcW w:w="1381" w:type="dxa"/>
            <w:tcBorders>
              <w:top w:val="nil"/>
              <w:left w:val="nil"/>
              <w:right w:val="nil"/>
            </w:tcBorders>
            <w:shd w:val="clear" w:color="auto" w:fill="auto"/>
            <w:vAlign w:val="center"/>
            <w:hideMark/>
          </w:tcPr>
          <w:p w:rsidR="00231578" w:rsidRPr="006F4F92" w:rsidRDefault="00231578" w:rsidP="006F4F92">
            <w:pPr>
              <w:jc w:val="center"/>
              <w:rPr>
                <w:rFonts w:eastAsia="Times New Roman"/>
                <w:color w:val="000000"/>
              </w:rPr>
            </w:pPr>
            <w:r w:rsidRPr="006F4F92">
              <w:rPr>
                <w:rFonts w:eastAsia="Times New Roman"/>
                <w:color w:val="000000"/>
              </w:rPr>
              <w:t>2016-2017</w:t>
            </w:r>
          </w:p>
        </w:tc>
        <w:tc>
          <w:tcPr>
            <w:tcW w:w="1299" w:type="dxa"/>
            <w:tcBorders>
              <w:top w:val="nil"/>
              <w:left w:val="nil"/>
              <w:right w:val="nil"/>
            </w:tcBorders>
            <w:vAlign w:val="center"/>
          </w:tcPr>
          <w:p w:rsidR="00231578" w:rsidRPr="006F4F92" w:rsidRDefault="00394EAD" w:rsidP="00A337C1">
            <w:pPr>
              <w:jc w:val="center"/>
              <w:rPr>
                <w:rFonts w:eastAsia="Times New Roman"/>
                <w:color w:val="000000"/>
              </w:rPr>
            </w:pPr>
            <w:r>
              <w:rPr>
                <w:rFonts w:eastAsia="Times New Roman"/>
                <w:color w:val="000000"/>
              </w:rPr>
              <w:t>29</w:t>
            </w:r>
          </w:p>
        </w:tc>
        <w:tc>
          <w:tcPr>
            <w:tcW w:w="1280" w:type="dxa"/>
            <w:tcBorders>
              <w:top w:val="nil"/>
              <w:left w:val="nil"/>
              <w:right w:val="nil"/>
            </w:tcBorders>
            <w:vAlign w:val="center"/>
          </w:tcPr>
          <w:p w:rsidR="00231578" w:rsidRPr="006F4F92" w:rsidRDefault="00394EAD" w:rsidP="00A337C1">
            <w:pPr>
              <w:jc w:val="center"/>
              <w:rPr>
                <w:rFonts w:eastAsia="Times New Roman"/>
                <w:color w:val="000000"/>
              </w:rPr>
            </w:pPr>
            <w:r>
              <w:rPr>
                <w:rFonts w:eastAsia="Times New Roman"/>
                <w:color w:val="000000"/>
              </w:rPr>
              <w:t>12</w:t>
            </w:r>
          </w:p>
        </w:tc>
        <w:tc>
          <w:tcPr>
            <w:tcW w:w="1170" w:type="dxa"/>
            <w:tcBorders>
              <w:top w:val="nil"/>
              <w:left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2.2</w:t>
            </w:r>
            <w:r>
              <w:rPr>
                <w:rFonts w:eastAsia="Times New Roman"/>
                <w:color w:val="000000"/>
              </w:rPr>
              <w:t>3</w:t>
            </w:r>
          </w:p>
        </w:tc>
        <w:tc>
          <w:tcPr>
            <w:tcW w:w="1350" w:type="dxa"/>
            <w:tcBorders>
              <w:top w:val="nil"/>
              <w:left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$35.68</w:t>
            </w:r>
          </w:p>
        </w:tc>
        <w:tc>
          <w:tcPr>
            <w:tcW w:w="1440" w:type="dxa"/>
            <w:tcBorders>
              <w:top w:val="nil"/>
              <w:left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7.27</w:t>
            </w:r>
          </w:p>
        </w:tc>
        <w:tc>
          <w:tcPr>
            <w:tcW w:w="1440" w:type="dxa"/>
            <w:tcBorders>
              <w:top w:val="nil"/>
              <w:left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$116.38</w:t>
            </w:r>
          </w:p>
        </w:tc>
        <w:tc>
          <w:tcPr>
            <w:tcW w:w="1530" w:type="dxa"/>
            <w:tcBorders>
              <w:top w:val="nil"/>
              <w:left w:val="nil"/>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$152.06</w:t>
            </w:r>
          </w:p>
        </w:tc>
      </w:tr>
      <w:tr w:rsidR="00231578" w:rsidRPr="006F4F92" w:rsidTr="00A337C1">
        <w:trPr>
          <w:trHeight w:val="525"/>
        </w:trPr>
        <w:tc>
          <w:tcPr>
            <w:tcW w:w="1530" w:type="dxa"/>
            <w:tcBorders>
              <w:top w:val="nil"/>
              <w:left w:val="nil"/>
              <w:bottom w:val="single" w:sz="4" w:space="0" w:color="auto"/>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TOTAL</w:t>
            </w:r>
            <w:r>
              <w:rPr>
                <w:rFonts w:eastAsia="Times New Roman"/>
                <w:color w:val="000000"/>
              </w:rPr>
              <w:t>S</w:t>
            </w:r>
            <w:r w:rsidRPr="006F4F92">
              <w:rPr>
                <w:rFonts w:eastAsia="Times New Roman"/>
                <w:color w:val="000000"/>
              </w:rPr>
              <w:t xml:space="preserve"> </w:t>
            </w:r>
          </w:p>
        </w:tc>
        <w:tc>
          <w:tcPr>
            <w:tcW w:w="1381"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p>
        </w:tc>
        <w:tc>
          <w:tcPr>
            <w:tcW w:w="1299" w:type="dxa"/>
            <w:tcBorders>
              <w:top w:val="nil"/>
              <w:left w:val="nil"/>
              <w:bottom w:val="single" w:sz="4" w:space="0" w:color="auto"/>
              <w:right w:val="nil"/>
            </w:tcBorders>
            <w:vAlign w:val="center"/>
          </w:tcPr>
          <w:p w:rsidR="00231578" w:rsidRPr="006F4F92" w:rsidRDefault="00231578" w:rsidP="00A337C1">
            <w:pPr>
              <w:jc w:val="center"/>
              <w:rPr>
                <w:rFonts w:eastAsia="Times New Roman"/>
                <w:color w:val="000000"/>
              </w:rPr>
            </w:pPr>
          </w:p>
        </w:tc>
        <w:tc>
          <w:tcPr>
            <w:tcW w:w="1280" w:type="dxa"/>
            <w:tcBorders>
              <w:top w:val="nil"/>
              <w:left w:val="nil"/>
              <w:bottom w:val="single" w:sz="4" w:space="0" w:color="auto"/>
              <w:right w:val="nil"/>
            </w:tcBorders>
            <w:vAlign w:val="center"/>
          </w:tcPr>
          <w:p w:rsidR="00231578" w:rsidRPr="006F4F92" w:rsidRDefault="00231578" w:rsidP="00A337C1">
            <w:pPr>
              <w:jc w:val="center"/>
              <w:rPr>
                <w:rFonts w:eastAsia="Times New Roman"/>
                <w:color w:val="000000"/>
              </w:rPr>
            </w:pPr>
          </w:p>
        </w:tc>
        <w:tc>
          <w:tcPr>
            <w:tcW w:w="1170"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266.3</w:t>
            </w:r>
            <w:r>
              <w:rPr>
                <w:rFonts w:eastAsia="Times New Roman"/>
                <w:color w:val="000000"/>
              </w:rPr>
              <w:t>3</w:t>
            </w:r>
          </w:p>
        </w:tc>
        <w:tc>
          <w:tcPr>
            <w:tcW w:w="1350"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$4,261.27</w:t>
            </w:r>
          </w:p>
        </w:tc>
        <w:tc>
          <w:tcPr>
            <w:tcW w:w="1440"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117.05</w:t>
            </w:r>
          </w:p>
        </w:tc>
        <w:tc>
          <w:tcPr>
            <w:tcW w:w="1440"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$1,872.75</w:t>
            </w:r>
          </w:p>
        </w:tc>
        <w:tc>
          <w:tcPr>
            <w:tcW w:w="1530" w:type="dxa"/>
            <w:tcBorders>
              <w:top w:val="nil"/>
              <w:left w:val="nil"/>
              <w:bottom w:val="single" w:sz="4" w:space="0" w:color="auto"/>
              <w:right w:val="nil"/>
            </w:tcBorders>
            <w:shd w:val="clear" w:color="auto" w:fill="auto"/>
            <w:noWrap/>
            <w:vAlign w:val="center"/>
            <w:hideMark/>
          </w:tcPr>
          <w:p w:rsidR="00231578" w:rsidRPr="006F4F92" w:rsidRDefault="00231578" w:rsidP="006F4F92">
            <w:pPr>
              <w:jc w:val="center"/>
              <w:rPr>
                <w:rFonts w:eastAsia="Times New Roman"/>
                <w:color w:val="000000"/>
              </w:rPr>
            </w:pPr>
            <w:r w:rsidRPr="006F4F92">
              <w:rPr>
                <w:rFonts w:eastAsia="Times New Roman"/>
                <w:color w:val="000000"/>
              </w:rPr>
              <w:t>$6,134.03</w:t>
            </w:r>
          </w:p>
        </w:tc>
      </w:tr>
    </w:tbl>
    <w:p w:rsidR="006F4F92" w:rsidRDefault="006F4F92" w:rsidP="00CC3050">
      <w:bookmarkStart w:id="0" w:name="_GoBack"/>
      <w:bookmarkEnd w:id="0"/>
    </w:p>
    <w:sectPr w:rsidR="006F4F92" w:rsidSect="00CC305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48"/>
    <w:rsid w:val="0010661F"/>
    <w:rsid w:val="001C228B"/>
    <w:rsid w:val="001F42CD"/>
    <w:rsid w:val="00231578"/>
    <w:rsid w:val="00271A0E"/>
    <w:rsid w:val="002B0F83"/>
    <w:rsid w:val="00324D5A"/>
    <w:rsid w:val="00343081"/>
    <w:rsid w:val="00394EAD"/>
    <w:rsid w:val="005A15A9"/>
    <w:rsid w:val="005E6A64"/>
    <w:rsid w:val="00687851"/>
    <w:rsid w:val="006B4E4E"/>
    <w:rsid w:val="006C0758"/>
    <w:rsid w:val="006F4F92"/>
    <w:rsid w:val="006F7462"/>
    <w:rsid w:val="00716739"/>
    <w:rsid w:val="00720E48"/>
    <w:rsid w:val="0080517B"/>
    <w:rsid w:val="008056BF"/>
    <w:rsid w:val="00A07DED"/>
    <w:rsid w:val="00A337C1"/>
    <w:rsid w:val="00A349D5"/>
    <w:rsid w:val="00A841CB"/>
    <w:rsid w:val="00A90FE9"/>
    <w:rsid w:val="00CC3050"/>
    <w:rsid w:val="00CE1475"/>
    <w:rsid w:val="00CF35A1"/>
    <w:rsid w:val="00DB6747"/>
    <w:rsid w:val="00E2772C"/>
    <w:rsid w:val="00ED035A"/>
    <w:rsid w:val="00ED3F84"/>
    <w:rsid w:val="00F17137"/>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27F89-D223-4461-B0F3-0B0794FB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4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Hight, Stephen</dc:creator>
  <cp:keywords/>
  <dc:description/>
  <cp:lastModifiedBy>  </cp:lastModifiedBy>
  <cp:revision>3</cp:revision>
  <cp:lastPrinted>2016-06-02T21:07:00Z</cp:lastPrinted>
  <dcterms:created xsi:type="dcterms:W3CDTF">2017-07-09T22:48:00Z</dcterms:created>
  <dcterms:modified xsi:type="dcterms:W3CDTF">2017-07-09T22:49:00Z</dcterms:modified>
</cp:coreProperties>
</file>