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40" w:rsidRDefault="00545F40" w:rsidP="00A658ED">
      <w:pPr>
        <w:rPr>
          <w:rFonts w:ascii="Times New Roman" w:hAnsi="Times New Roman" w:cs="Times New Roman"/>
        </w:rPr>
      </w:pPr>
      <w:r w:rsidRPr="00545F4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9275" cy="2286072"/>
            <wp:effectExtent l="0" t="0" r="0" b="0"/>
            <wp:wrapTight wrapText="bothSides">
              <wp:wrapPolygon edited="0">
                <wp:start x="0" y="0"/>
                <wp:lineTo x="0" y="21420"/>
                <wp:lineTo x="21550" y="21420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275" cy="228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109">
        <w:rPr>
          <w:rFonts w:ascii="Times New Roman" w:hAnsi="Times New Roman" w:cs="Times New Roman"/>
        </w:rPr>
        <w:t>Figure 1</w:t>
      </w:r>
      <w:r>
        <w:rPr>
          <w:rFonts w:ascii="Times New Roman" w:hAnsi="Times New Roman" w:cs="Times New Roman"/>
        </w:rPr>
        <w:t xml:space="preserve">: The chart depicts the start date, end date, of harvest in both 2015 (orange) and 2016 (red) for each of the hop cultivars </w:t>
      </w:r>
      <w:r w:rsidR="002B0773">
        <w:rPr>
          <w:rFonts w:ascii="Times New Roman" w:hAnsi="Times New Roman" w:cs="Times New Roman"/>
        </w:rPr>
        <w:t>grown at the Rutgers University Snyder Research and Extension Farm in Pittstown, NJ</w:t>
      </w:r>
      <w:r w:rsidR="00D15C08">
        <w:rPr>
          <w:rFonts w:ascii="Times New Roman" w:hAnsi="Times New Roman" w:cs="Times New Roman"/>
        </w:rPr>
        <w:t>.</w:t>
      </w:r>
    </w:p>
    <w:p w:rsidR="00D15C08" w:rsidRDefault="00D15C08" w:rsidP="00A658ED">
      <w:pPr>
        <w:rPr>
          <w:rFonts w:ascii="Times New Roman" w:hAnsi="Times New Roman" w:cs="Times New Roman"/>
        </w:rPr>
      </w:pPr>
    </w:p>
    <w:p w:rsidR="00D15C08" w:rsidRDefault="00D15C08" w:rsidP="00A658ED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770E82F" wp14:editId="2F77C319">
            <wp:extent cx="9014460" cy="4520242"/>
            <wp:effectExtent l="0" t="0" r="15240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4B75" w:rsidRDefault="00D73109" w:rsidP="00A65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B04B75">
        <w:rPr>
          <w:rFonts w:ascii="Times New Roman" w:hAnsi="Times New Roman" w:cs="Times New Roman"/>
        </w:rPr>
        <w:t>: This figure displays the total yields of each variety</w:t>
      </w:r>
      <w:r w:rsidR="00ED48B9">
        <w:rPr>
          <w:rFonts w:ascii="Times New Roman" w:hAnsi="Times New Roman" w:cs="Times New Roman"/>
        </w:rPr>
        <w:t xml:space="preserve"> harvested from the demonstration plot at the Rutgers University Snyder Research and Extension Farm </w:t>
      </w:r>
      <w:r>
        <w:rPr>
          <w:rFonts w:ascii="Times New Roman" w:hAnsi="Times New Roman" w:cs="Times New Roman"/>
        </w:rPr>
        <w:t xml:space="preserve">in </w:t>
      </w:r>
      <w:r w:rsidR="00ED48B9">
        <w:rPr>
          <w:rFonts w:ascii="Times New Roman" w:hAnsi="Times New Roman" w:cs="Times New Roman"/>
        </w:rPr>
        <w:t>Pittstown, NJ</w:t>
      </w:r>
      <w:r w:rsidR="00B04B75">
        <w:rPr>
          <w:rFonts w:ascii="Times New Roman" w:hAnsi="Times New Roman" w:cs="Times New Roman"/>
        </w:rPr>
        <w:t xml:space="preserve"> (20 plants per variety) included in this study for both the 2015 and 2016 harvest seasons.</w:t>
      </w: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p w:rsidR="00CC1F22" w:rsidRDefault="00CC1F22" w:rsidP="00A658ED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694"/>
        <w:tblW w:w="738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152"/>
        <w:gridCol w:w="1098"/>
        <w:gridCol w:w="1206"/>
        <w:gridCol w:w="1404"/>
        <w:gridCol w:w="1440"/>
        <w:gridCol w:w="1080"/>
      </w:tblGrid>
      <w:tr w:rsidR="00171576" w:rsidRPr="004C4ACD" w:rsidTr="00171576">
        <w:trPr>
          <w:trHeight w:val="20"/>
        </w:trPr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Variety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 ID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β-</w:t>
            </w:r>
            <w:proofErr w:type="spellStart"/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myrcene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α-</w:t>
            </w:r>
            <w:proofErr w:type="spellStart"/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Humulene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β-</w:t>
            </w:r>
            <w:proofErr w:type="spellStart"/>
            <w:proofErr w:type="gramStart"/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caryophyllene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 of Total Oil</w:t>
            </w:r>
          </w:p>
        </w:tc>
      </w:tr>
      <w:tr w:rsidR="00171576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79.36</w:t>
            </w:r>
          </w:p>
        </w:tc>
      </w:tr>
      <w:tr w:rsidR="00171576" w:rsidRPr="004C4AC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72459D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70.00</w:t>
            </w:r>
          </w:p>
        </w:tc>
      </w:tr>
      <w:tr w:rsidR="00171576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</w:tr>
      <w:tr w:rsidR="00171576" w:rsidRPr="004C4AC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72459D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72459D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53.00</w:t>
            </w:r>
          </w:p>
        </w:tc>
      </w:tr>
      <w:tr w:rsidR="00171576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74.28</w:t>
            </w:r>
          </w:p>
        </w:tc>
      </w:tr>
      <w:tr w:rsidR="00171576" w:rsidRPr="004C4AC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73.20</w:t>
            </w:r>
          </w:p>
        </w:tc>
      </w:tr>
      <w:tr w:rsidR="00171576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76" w:rsidRPr="00B537F0" w:rsidRDefault="00171576" w:rsidP="001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80.81</w:t>
            </w:r>
          </w:p>
        </w:tc>
      </w:tr>
      <w:tr w:rsidR="0072459D" w:rsidRPr="004C4AC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Columbus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70.00</w:t>
            </w:r>
          </w:p>
        </w:tc>
      </w:tr>
      <w:tr w:rsidR="0072459D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Columbus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84.62</w:t>
            </w:r>
          </w:p>
        </w:tc>
      </w:tr>
      <w:tr w:rsidR="0072459D" w:rsidRPr="004C4AC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59D" w:rsidRPr="0072459D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5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77.00</w:t>
            </w:r>
          </w:p>
        </w:tc>
      </w:tr>
      <w:tr w:rsidR="0072459D" w:rsidRPr="005D32BD" w:rsidTr="00171576">
        <w:trPr>
          <w:trHeight w:val="20"/>
        </w:trPr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3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59D" w:rsidRPr="00B537F0" w:rsidRDefault="0072459D" w:rsidP="007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84.94</w:t>
            </w:r>
          </w:p>
        </w:tc>
      </w:tr>
    </w:tbl>
    <w:p w:rsidR="00CE1920" w:rsidRDefault="00D43BEA" w:rsidP="00A658ED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1270</wp:posOffset>
            </wp:positionV>
            <wp:extent cx="2130425" cy="3725545"/>
            <wp:effectExtent l="0" t="0" r="3175" b="8255"/>
            <wp:wrapTight wrapText="bothSides">
              <wp:wrapPolygon edited="0">
                <wp:start x="0" y="0"/>
                <wp:lineTo x="0" y="21537"/>
                <wp:lineTo x="21439" y="21537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0" t="31379" r="25754" b="15243"/>
                    <a:stretch/>
                  </pic:blipFill>
                  <pic:spPr bwMode="auto">
                    <a:xfrm>
                      <a:off x="0" y="0"/>
                      <a:ext cx="2130425" cy="372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171576" w:rsidRDefault="00171576" w:rsidP="00171576">
      <w:pPr>
        <w:spacing w:after="0" w:line="240" w:lineRule="auto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4: </w:t>
      </w:r>
      <w:r w:rsidR="00244095">
        <w:rPr>
          <w:rFonts w:ascii="Times New Roman" w:hAnsi="Times New Roman" w:cs="Times New Roman"/>
        </w:rPr>
        <w:t>This figure d</w:t>
      </w:r>
      <w:r>
        <w:rPr>
          <w:rFonts w:ascii="Times New Roman" w:hAnsi="Times New Roman" w:cs="Times New Roman"/>
        </w:rPr>
        <w:t>isplay</w:t>
      </w:r>
      <w:r w:rsidR="0024409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major essential oil volatiles found in </w:t>
      </w:r>
      <w:r w:rsidR="00244095"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samples harvested in 2015 from throughout New Jersey alongside those of samples purchased from </w:t>
      </w:r>
      <w:r w:rsidR="00F031AE">
        <w:rPr>
          <w:rFonts w:ascii="Times New Roman" w:hAnsi="Times New Roman" w:cs="Times New Roman"/>
        </w:rPr>
        <w:t>YCF HOPS LLC.</w:t>
      </w: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D73109" w:rsidRDefault="00D73109" w:rsidP="00A658ED">
      <w:pPr>
        <w:rPr>
          <w:rFonts w:ascii="Times New Roman" w:hAnsi="Times New Roman" w:cs="Times New Roman"/>
        </w:rPr>
      </w:pPr>
    </w:p>
    <w:p w:rsidR="00D73109" w:rsidRDefault="00D73109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B537F0" w:rsidRDefault="00D73109" w:rsidP="001715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3: </w:t>
      </w:r>
      <w:r w:rsidR="00B537F0">
        <w:rPr>
          <w:rFonts w:ascii="Times New Roman" w:hAnsi="Times New Roman" w:cs="Times New Roman"/>
        </w:rPr>
        <w:t xml:space="preserve">This figure represented the locations </w:t>
      </w:r>
    </w:p>
    <w:p w:rsidR="00B537F0" w:rsidRDefault="00B537F0" w:rsidP="001715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all of the farms from which samples were </w:t>
      </w:r>
    </w:p>
    <w:p w:rsidR="00171576" w:rsidRDefault="00B537F0" w:rsidP="001715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collected</w:t>
      </w:r>
      <w:proofErr w:type="gramEnd"/>
      <w:r>
        <w:rPr>
          <w:rFonts w:ascii="Times New Roman" w:hAnsi="Times New Roman" w:cs="Times New Roman"/>
        </w:rPr>
        <w:t xml:space="preserve"> for the study.  Each farm </w:t>
      </w:r>
      <w:proofErr w:type="gramStart"/>
      <w:r>
        <w:rPr>
          <w:rFonts w:ascii="Times New Roman" w:hAnsi="Times New Roman" w:cs="Times New Roman"/>
        </w:rPr>
        <w:t>is represented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71576" w:rsidRDefault="00B537F0" w:rsidP="001715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a number, which corresponds to the </w:t>
      </w:r>
    </w:p>
    <w:p w:rsidR="00F031AE" w:rsidRDefault="00B537F0" w:rsidP="001715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ID in </w:t>
      </w:r>
      <w:r>
        <w:rPr>
          <w:rFonts w:ascii="Times New Roman" w:hAnsi="Times New Roman" w:cs="Times New Roman"/>
        </w:rPr>
        <w:t>Figures 4 and 5</w:t>
      </w:r>
      <w:r>
        <w:rPr>
          <w:rFonts w:ascii="Times New Roman" w:hAnsi="Times New Roman" w:cs="Times New Roman"/>
        </w:rPr>
        <w:t>.</w:t>
      </w:r>
      <w:r w:rsidR="00F031AE">
        <w:rPr>
          <w:rFonts w:ascii="Times New Roman" w:hAnsi="Times New Roman" w:cs="Times New Roman"/>
        </w:rPr>
        <w:t xml:space="preserve">  Note sample </w:t>
      </w:r>
    </w:p>
    <w:p w:rsidR="006C4537" w:rsidRDefault="00F031AE" w:rsidP="001715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was from Connecticut.</w:t>
      </w:r>
    </w:p>
    <w:p w:rsidR="00B537F0" w:rsidRDefault="00B537F0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B537F0" w:rsidRDefault="00B537F0" w:rsidP="00A658ED">
      <w:pPr>
        <w:rPr>
          <w:rFonts w:ascii="Times New Roman" w:hAnsi="Times New Roman" w:cs="Times New Roman"/>
        </w:rPr>
      </w:pPr>
    </w:p>
    <w:p w:rsidR="00B537F0" w:rsidRDefault="00B537F0" w:rsidP="00A658ED">
      <w:pPr>
        <w:rPr>
          <w:rFonts w:ascii="Times New Roman" w:hAnsi="Times New Roman" w:cs="Times New Roman"/>
        </w:rPr>
      </w:pPr>
    </w:p>
    <w:p w:rsidR="006C4537" w:rsidRDefault="006C4537" w:rsidP="006C4537">
      <w:pPr>
        <w:spacing w:after="0" w:line="240" w:lineRule="auto"/>
        <w:rPr>
          <w:rFonts w:ascii="Times New Roman" w:hAnsi="Times New Roman" w:cs="Times New Roman"/>
        </w:rPr>
      </w:pPr>
    </w:p>
    <w:p w:rsidR="00C03A88" w:rsidRDefault="00C03A88" w:rsidP="00A658ED">
      <w:pPr>
        <w:rPr>
          <w:rFonts w:ascii="Times New Roman" w:hAnsi="Times New Roman" w:cs="Times New Roman"/>
        </w:rPr>
      </w:pPr>
    </w:p>
    <w:p w:rsidR="00171576" w:rsidRDefault="00171576" w:rsidP="00A658ED">
      <w:pPr>
        <w:rPr>
          <w:rFonts w:ascii="Times New Roman" w:hAnsi="Times New Roman" w:cs="Times New Roman"/>
        </w:rPr>
      </w:pPr>
    </w:p>
    <w:p w:rsidR="006C4537" w:rsidRDefault="006C4537" w:rsidP="00A658E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256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584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C03A88" w:rsidRPr="00C03A88" w:rsidTr="00C03A88">
        <w:trPr>
          <w:trHeight w:val="20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Variety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 ID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cohumulone</w:t>
            </w:r>
            <w:proofErr w:type="spellEnd"/>
            <w:proofErr w:type="gram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 + </w:t>
            </w: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adhumulone</w:t>
            </w:r>
            <w:proofErr w:type="spell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colupulone</w:t>
            </w:r>
            <w:proofErr w:type="spellEnd"/>
            <w:proofErr w:type="gram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 + </w:t>
            </w: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colupulone</w:t>
            </w:r>
            <w:proofErr w:type="spell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α-acids</w:t>
            </w:r>
            <w:proofErr w:type="gram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β-acids</w:t>
            </w:r>
            <w:proofErr w:type="gram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Brewers Gold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8.00 - 11.0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4.00 - 6.50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Brewers Gold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3.36±0.04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1.33±0.04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5.50 - 9.00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6.00 - 7.50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1.30±0.04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2.46±0.12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3.36±0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0.73±0.12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1.75±0.29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1.36±0.27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1.50±0.28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1.87±0.11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4.30±0.27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2.25±0.18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2.07±0.18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Cascade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0.67±0.67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1.63±1.63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1.38±1.38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1.85±1.85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Cascade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3.40±0.09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6.95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 (Field 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1.25±0.07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2.77±0.14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2.50±0.13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2.76±0.11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Cascade (Field 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2.49±0.025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Centennial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7.00 - 12.0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3.50 - 5.50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Centennial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0.38±0.07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1.04±0.17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Centennial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1.54±0.38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4.56±0.96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1.11±0.25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1.27±0.32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11.5 - 15.0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3.00 - 4.00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3.29±0.1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6.96±0.22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1.30±0.02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3.02±0.16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7.83±0.21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1.35±0.02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1.18±0.01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2.12±0.07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5.89±0.16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1.17±0.02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2.705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6.39±0.02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1.28±0.01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6.26±0.16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1.17±0.05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 (Field 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6.90±0.02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Chinook (Field 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6.35±0.24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1.17±0.03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Columbus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14.5 - 17.5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4.50 - 6.00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Columbus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Galena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13.0 - 15.0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7.50 - 8.50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Galena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4.34±0.09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6.60±0.19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4.77±0.16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2.82±0.07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Golding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3.00 - 6.5 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2.00 - 3.50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Golding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4.68±0.06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12.97±0.26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Magnum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12.0 - 15.5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5.50 - 8.00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Magnum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2.56±0.17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8.93±0.5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2.0±0.135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3.53±0.12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Mt. Hood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4.00 - 6.50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4.40 - 7.20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Mt. Hood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Mt. Hood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1.33±0.05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Newport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10.0 - 12.5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5.50 - 6.50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Newport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3.96±0.15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13.5 - 16.0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4.40 - 5.58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8.66±0.37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1.66±0.11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1.18±0.19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4.34±0.72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0.88±0.12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1.66±1.66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1.30±1.30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0.92±0.92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1.30±1.30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4.34±4.34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0.66±0.66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0.84±0.84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8.50±0.08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1.46±0.02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 (Field 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9.34±0.11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Nugget (Field 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8.52±0.11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1.22±0.02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Perle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6.00 - 9.00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3.00 - 4.50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Perle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1.48±0.15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0.62±0.05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0.54±0.04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Sorachi</w:t>
            </w:r>
            <w:proofErr w:type="spellEnd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11.5 - 14.5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6.00 - 7.50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Sorachi</w:t>
            </w:r>
            <w:proofErr w:type="spellEnd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2.35±0.09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5.78±0.35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3.41±0.145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4.31±0.22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7.72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Sterling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5.50 - 8.50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4.50 - 6.00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Sterling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1.08±0.25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2.76±0.67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0.80±0.14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0.72±0.14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Sterling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2.61±0.13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9.1±0.39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2.04±0.07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Tettnang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4.00 - 6.00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2.50 - 4.00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Tettnang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0.12±0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Ultra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9.20 - 9.70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3.80 - 4.00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1.51±.015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3.41±0.08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Wilamette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Quality Standard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72459D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YCH HOPS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3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4.50 - 6.50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3.00 - 4.50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Wilamette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0.51±0.02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1.38±0.01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1.10±0.06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1.14±0.03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C03A88" w:rsidRPr="00C03A88" w:rsidTr="00C03A88">
        <w:trPr>
          <w:trHeight w:val="2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Wilamette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0.48±0.48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1.08±1.08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0.85±0.85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C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0.78±0.78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A88" w:rsidRPr="00C03A88" w:rsidRDefault="00C03A88" w:rsidP="005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3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</w:tbl>
    <w:p w:rsidR="00F031AE" w:rsidRDefault="006C4537" w:rsidP="00F031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5:</w:t>
      </w:r>
      <w:r w:rsidR="000D7477">
        <w:rPr>
          <w:rFonts w:ascii="Times New Roman" w:hAnsi="Times New Roman" w:cs="Times New Roman"/>
        </w:rPr>
        <w:t xml:space="preserve"> </w:t>
      </w:r>
      <w:r w:rsidR="00F031AE">
        <w:rPr>
          <w:rFonts w:ascii="Times New Roman" w:hAnsi="Times New Roman" w:cs="Times New Roman"/>
        </w:rPr>
        <w:t xml:space="preserve">This figure displays the </w:t>
      </w:r>
      <w:r w:rsidR="00F031AE">
        <w:rPr>
          <w:rFonts w:ascii="Times New Roman" w:hAnsi="Times New Roman" w:cs="Times New Roman"/>
        </w:rPr>
        <w:t>bittering acids</w:t>
      </w:r>
      <w:r w:rsidR="00F031AE">
        <w:rPr>
          <w:rFonts w:ascii="Times New Roman" w:hAnsi="Times New Roman" w:cs="Times New Roman"/>
        </w:rPr>
        <w:t xml:space="preserve"> found in </w:t>
      </w:r>
      <w:r w:rsidR="00F031AE">
        <w:rPr>
          <w:rFonts w:ascii="Times New Roman" w:hAnsi="Times New Roman" w:cs="Times New Roman"/>
        </w:rPr>
        <w:t xml:space="preserve">samples harvested in 2015 and 2016 </w:t>
      </w:r>
      <w:r w:rsidR="00F031AE">
        <w:rPr>
          <w:rFonts w:ascii="Times New Roman" w:hAnsi="Times New Roman" w:cs="Times New Roman"/>
        </w:rPr>
        <w:t xml:space="preserve">alongside samples purchased from </w:t>
      </w:r>
      <w:r w:rsidR="00F031AE">
        <w:rPr>
          <w:rFonts w:ascii="Times New Roman" w:hAnsi="Times New Roman" w:cs="Times New Roman"/>
        </w:rPr>
        <w:t>YCH HOPS LLC</w:t>
      </w:r>
      <w:r w:rsidR="00F031AE">
        <w:rPr>
          <w:rFonts w:ascii="Times New Roman" w:hAnsi="Times New Roman" w:cs="Times New Roman"/>
        </w:rPr>
        <w:t>.</w:t>
      </w:r>
    </w:p>
    <w:p w:rsidR="00C03A88" w:rsidRPr="005327E7" w:rsidRDefault="00C03A88" w:rsidP="00A658ED">
      <w:pPr>
        <w:rPr>
          <w:rFonts w:ascii="Times New Roman" w:hAnsi="Times New Roman" w:cs="Times New Roman"/>
        </w:rPr>
      </w:pPr>
    </w:p>
    <w:sectPr w:rsidR="00C03A88" w:rsidRPr="005327E7" w:rsidSect="006C45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BD"/>
    <w:rsid w:val="000660E6"/>
    <w:rsid w:val="000D7477"/>
    <w:rsid w:val="00120F54"/>
    <w:rsid w:val="00171576"/>
    <w:rsid w:val="00244095"/>
    <w:rsid w:val="002B0773"/>
    <w:rsid w:val="004C4ACD"/>
    <w:rsid w:val="00526ACC"/>
    <w:rsid w:val="005327E7"/>
    <w:rsid w:val="00545F40"/>
    <w:rsid w:val="005D32BD"/>
    <w:rsid w:val="006A17EC"/>
    <w:rsid w:val="006C4537"/>
    <w:rsid w:val="0072459D"/>
    <w:rsid w:val="00732CBC"/>
    <w:rsid w:val="007F6607"/>
    <w:rsid w:val="008448B2"/>
    <w:rsid w:val="00A37ADD"/>
    <w:rsid w:val="00A658ED"/>
    <w:rsid w:val="00AB2419"/>
    <w:rsid w:val="00B01687"/>
    <w:rsid w:val="00B04B75"/>
    <w:rsid w:val="00B37EBD"/>
    <w:rsid w:val="00B537F0"/>
    <w:rsid w:val="00BF257A"/>
    <w:rsid w:val="00C03A88"/>
    <w:rsid w:val="00CC1F22"/>
    <w:rsid w:val="00CE1920"/>
    <w:rsid w:val="00D15C08"/>
    <w:rsid w:val="00D43BEA"/>
    <w:rsid w:val="00D73109"/>
    <w:rsid w:val="00D8486F"/>
    <w:rsid w:val="00ED48B9"/>
    <w:rsid w:val="00EF3AFB"/>
    <w:rsid w:val="00F031AE"/>
    <w:rsid w:val="00F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7403"/>
  <w15:chartTrackingRefBased/>
  <w15:docId w15:val="{ACD0E720-6384-4846-897A-A2BC553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223414187320552E-2"/>
          <c:y val="9.2436155211058996E-2"/>
          <c:w val="0.88059317144920657"/>
          <c:h val="0.68550349261359766"/>
        </c:manualLayout>
      </c:layout>
      <c:barChart>
        <c:barDir val="col"/>
        <c:grouping val="clustered"/>
        <c:varyColors val="0"/>
        <c:ser>
          <c:idx val="1"/>
          <c:order val="0"/>
          <c:tx>
            <c:v>2015 Harvest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(Sheet1!$K$3,Sheet1!$K$5,Sheet1!$K$7,Sheet1!$K$9,Sheet1!$K$11,Sheet1!$K$13,Sheet1!$K$15,Sheet1!$K$17,Sheet1!$K$19,Sheet1!$K$21)</c:f>
              <c:strCache>
                <c:ptCount val="10"/>
                <c:pt idx="0">
                  <c:v>Cascade</c:v>
                </c:pt>
                <c:pt idx="1">
                  <c:v>Centennial</c:v>
                </c:pt>
                <c:pt idx="2">
                  <c:v>Mt. Hood</c:v>
                </c:pt>
                <c:pt idx="3">
                  <c:v>Sorachi Ace</c:v>
                </c:pt>
                <c:pt idx="4">
                  <c:v>Ultra</c:v>
                </c:pt>
                <c:pt idx="5">
                  <c:v>Wilamette</c:v>
                </c:pt>
                <c:pt idx="6">
                  <c:v>Chinook</c:v>
                </c:pt>
                <c:pt idx="7">
                  <c:v>Nugget</c:v>
                </c:pt>
                <c:pt idx="8">
                  <c:v>Saaz</c:v>
                </c:pt>
                <c:pt idx="9">
                  <c:v>Newport</c:v>
                </c:pt>
              </c:strCache>
            </c:strRef>
          </c:cat>
          <c:val>
            <c:numRef>
              <c:f>(Sheet1!$P$2,Sheet1!$P$4,Sheet1!$P$6,Sheet1!$P$8,Sheet1!$P$10,Sheet1!$P$12,Sheet1!$P$14,Sheet1!$P$16,Sheet1!$P$18,Sheet1!$P$20)</c:f>
              <c:numCache>
                <c:formatCode>General</c:formatCode>
                <c:ptCount val="10"/>
                <c:pt idx="0">
                  <c:v>0.6018651204832558</c:v>
                </c:pt>
                <c:pt idx="1">
                  <c:v>0.82078529068101158</c:v>
                </c:pt>
                <c:pt idx="2">
                  <c:v>0.39639321854538245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12.826561432130339</c:v>
                </c:pt>
                <c:pt idx="7">
                  <c:v>6.5023479353601275</c:v>
                </c:pt>
                <c:pt idx="8">
                  <c:v>3.9462951123261092E-2</c:v>
                </c:pt>
                <c:pt idx="9">
                  <c:v>5.8863731563746996E-2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2-4B84-853E-543BB93C4C03}"/>
            </c:ext>
          </c:extLst>
        </c:ser>
        <c:ser>
          <c:idx val="0"/>
          <c:order val="1"/>
          <c:tx>
            <c:v>2016 Harvest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(Sheet1!$K$3,Sheet1!$K$5,Sheet1!$K$7,Sheet1!$K$9,Sheet1!$K$11,Sheet1!$K$13,Sheet1!$K$15,Sheet1!$K$17,Sheet1!$K$19,Sheet1!$K$21)</c:f>
              <c:strCache>
                <c:ptCount val="10"/>
                <c:pt idx="0">
                  <c:v>Cascade</c:v>
                </c:pt>
                <c:pt idx="1">
                  <c:v>Centennial</c:v>
                </c:pt>
                <c:pt idx="2">
                  <c:v>Mt. Hood</c:v>
                </c:pt>
                <c:pt idx="3">
                  <c:v>Sorachi Ace</c:v>
                </c:pt>
                <c:pt idx="4">
                  <c:v>Ultra</c:v>
                </c:pt>
                <c:pt idx="5">
                  <c:v>Wilamette</c:v>
                </c:pt>
                <c:pt idx="6">
                  <c:v>Chinook</c:v>
                </c:pt>
                <c:pt idx="7">
                  <c:v>Nugget</c:v>
                </c:pt>
                <c:pt idx="8">
                  <c:v>Saaz</c:v>
                </c:pt>
                <c:pt idx="9">
                  <c:v>Newport</c:v>
                </c:pt>
              </c:strCache>
            </c:strRef>
          </c:cat>
          <c:val>
            <c:numRef>
              <c:f>(Sheet1!$P$3,Sheet1!$P$5,Sheet1!$P$7,Sheet1!$P$9,Sheet1!$P$11,Sheet1!$P$13,Sheet1!$P$15,Sheet1!$P$17,Sheet1!$P$19,Sheet1!$P$21)</c:f>
              <c:numCache>
                <c:formatCode>General</c:formatCode>
                <c:ptCount val="10"/>
                <c:pt idx="0">
                  <c:v>11.46630216715536</c:v>
                </c:pt>
                <c:pt idx="1">
                  <c:v>10.145726316717742</c:v>
                </c:pt>
                <c:pt idx="2">
                  <c:v>3.8360634052778941</c:v>
                </c:pt>
                <c:pt idx="3">
                  <c:v>11.66471923984215</c:v>
                </c:pt>
                <c:pt idx="4">
                  <c:v>4.9648360854516191</c:v>
                </c:pt>
                <c:pt idx="5">
                  <c:v>8.0865980290570789</c:v>
                </c:pt>
                <c:pt idx="6">
                  <c:v>43.724508917745105</c:v>
                </c:pt>
                <c:pt idx="7">
                  <c:v>23.666747503251838</c:v>
                </c:pt>
                <c:pt idx="8">
                  <c:v>0</c:v>
                </c:pt>
                <c:pt idx="9">
                  <c:v>12.983090456138804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2-4B84-853E-543BB93C4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87539344"/>
        <c:axId val="2087540592"/>
      </c:barChart>
      <c:catAx>
        <c:axId val="2087539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Variety</a:t>
                </a:r>
              </a:p>
            </c:rich>
          </c:tx>
          <c:layout>
            <c:manualLayout>
              <c:xMode val="edge"/>
              <c:yMode val="edge"/>
              <c:x val="0.46411310272606454"/>
              <c:y val="0.872632205093470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7540592"/>
        <c:crosses val="autoZero"/>
        <c:auto val="1"/>
        <c:lblAlgn val="ctr"/>
        <c:lblOffset val="100"/>
        <c:noMultiLvlLbl val="0"/>
      </c:catAx>
      <c:valAx>
        <c:axId val="20875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Fresh Weight (Pounds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)</a:t>
                </a:r>
                <a:endParaRPr lang="en-US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3.0740942885097943E-2"/>
              <c:y val="0.242437161637458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753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007310476722964"/>
          <c:y val="2.3900591380839966E-2"/>
          <c:w val="0.13163594935248477"/>
          <c:h val="6.54569871657304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5ABCBC-EB56-43F0-8074-A8289B9D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18</cp:revision>
  <cp:lastPrinted>2017-06-09T16:57:00Z</cp:lastPrinted>
  <dcterms:created xsi:type="dcterms:W3CDTF">2017-05-28T15:37:00Z</dcterms:created>
  <dcterms:modified xsi:type="dcterms:W3CDTF">2017-06-09T19:45:00Z</dcterms:modified>
</cp:coreProperties>
</file>