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17" w:rsidRDefault="00047917" w:rsidP="00047917">
      <w:pPr>
        <w:pStyle w:val="NormalWeb"/>
        <w:spacing w:before="0" w:beforeAutospacing="0" w:after="0" w:afterAutospacing="0"/>
        <w:jc w:val="center"/>
        <w:textAlignment w:val="baseline"/>
        <w:rPr>
          <w:rFonts w:eastAsiaTheme="minorEastAsia"/>
          <w:b/>
          <w:bCs/>
          <w:color w:val="000000" w:themeColor="text1"/>
          <w:kern w:val="24"/>
          <w:sz w:val="36"/>
          <w:szCs w:val="36"/>
        </w:rPr>
      </w:pPr>
      <w:r w:rsidRPr="00047917">
        <w:rPr>
          <w:rFonts w:eastAsiaTheme="minorEastAsia"/>
          <w:b/>
          <w:bCs/>
          <w:color w:val="000000" w:themeColor="text1"/>
          <w:kern w:val="24"/>
          <w:sz w:val="36"/>
          <w:szCs w:val="36"/>
        </w:rPr>
        <w:t>Quality Assessment of Hops (</w:t>
      </w:r>
      <w:proofErr w:type="spellStart"/>
      <w:r w:rsidRPr="00047917">
        <w:rPr>
          <w:rFonts w:eastAsiaTheme="minorEastAsia"/>
          <w:b/>
          <w:bCs/>
          <w:i/>
          <w:iCs/>
          <w:color w:val="000000" w:themeColor="text1"/>
          <w:kern w:val="24"/>
          <w:sz w:val="36"/>
          <w:szCs w:val="36"/>
        </w:rPr>
        <w:t>Humulus</w:t>
      </w:r>
      <w:proofErr w:type="spellEnd"/>
      <w:r w:rsidRPr="00047917">
        <w:rPr>
          <w:rFonts w:eastAsiaTheme="minorEastAsia"/>
          <w:b/>
          <w:bCs/>
          <w:i/>
          <w:iCs/>
          <w:color w:val="000000" w:themeColor="text1"/>
          <w:kern w:val="24"/>
          <w:sz w:val="36"/>
          <w:szCs w:val="36"/>
        </w:rPr>
        <w:t xml:space="preserve"> </w:t>
      </w:r>
      <w:proofErr w:type="spellStart"/>
      <w:r w:rsidRPr="00047917">
        <w:rPr>
          <w:rFonts w:eastAsiaTheme="minorEastAsia"/>
          <w:b/>
          <w:bCs/>
          <w:i/>
          <w:iCs/>
          <w:color w:val="000000" w:themeColor="text1"/>
          <w:kern w:val="24"/>
          <w:sz w:val="36"/>
          <w:szCs w:val="36"/>
        </w:rPr>
        <w:t>lupulus</w:t>
      </w:r>
      <w:proofErr w:type="spellEnd"/>
      <w:r w:rsidRPr="00047917">
        <w:rPr>
          <w:rFonts w:eastAsiaTheme="minorEastAsia"/>
          <w:b/>
          <w:bCs/>
          <w:color w:val="000000" w:themeColor="text1"/>
          <w:kern w:val="24"/>
          <w:sz w:val="36"/>
          <w:szCs w:val="36"/>
        </w:rPr>
        <w:t>) Grown in New Jersey</w:t>
      </w:r>
    </w:p>
    <w:p w:rsidR="00047917" w:rsidRPr="00047917" w:rsidRDefault="00047917" w:rsidP="00047917">
      <w:pPr>
        <w:pStyle w:val="NormalWeb"/>
        <w:spacing w:before="0" w:beforeAutospacing="0" w:after="0" w:afterAutospacing="0"/>
        <w:jc w:val="center"/>
        <w:textAlignment w:val="baseline"/>
      </w:pPr>
      <w:r w:rsidRPr="00047917">
        <w:rPr>
          <w:rFonts w:eastAsiaTheme="minorEastAsia"/>
          <w:b/>
          <w:bCs/>
          <w:color w:val="000000" w:themeColor="text1"/>
          <w:kern w:val="24"/>
          <w:sz w:val="48"/>
          <w:szCs w:val="48"/>
        </w:rPr>
        <w:br/>
      </w:r>
      <w:r w:rsidRPr="00047917">
        <w:rPr>
          <w:rFonts w:eastAsiaTheme="minorEastAsia"/>
          <w:b/>
          <w:bCs/>
          <w:color w:val="000000" w:themeColor="text1"/>
          <w:kern w:val="24"/>
          <w:u w:val="single"/>
        </w:rPr>
        <w:t>Megan Muehlbauer</w:t>
      </w:r>
      <w:r w:rsidRPr="00047917">
        <w:rPr>
          <w:rFonts w:eastAsiaTheme="minorEastAsia"/>
          <w:b/>
          <w:bCs/>
          <w:color w:val="000000" w:themeColor="text1"/>
          <w:kern w:val="24"/>
          <w:u w:val="single"/>
          <w:vertAlign w:val="superscript"/>
        </w:rPr>
        <w:t>2</w:t>
      </w:r>
      <w:r w:rsidRPr="00047917">
        <w:rPr>
          <w:rFonts w:eastAsiaTheme="minorEastAsia"/>
          <w:b/>
          <w:bCs/>
          <w:color w:val="000000" w:themeColor="text1"/>
          <w:kern w:val="24"/>
        </w:rPr>
        <w:t>, Robert Pyne</w:t>
      </w:r>
      <w:r w:rsidRPr="00047917">
        <w:rPr>
          <w:rFonts w:eastAsiaTheme="minorEastAsia"/>
          <w:b/>
          <w:bCs/>
          <w:color w:val="000000" w:themeColor="text1"/>
          <w:kern w:val="24"/>
          <w:vertAlign w:val="superscript"/>
        </w:rPr>
        <w:t>1</w:t>
      </w:r>
      <w:proofErr w:type="gramStart"/>
      <w:r w:rsidRPr="00047917">
        <w:rPr>
          <w:rFonts w:eastAsiaTheme="minorEastAsia"/>
          <w:b/>
          <w:bCs/>
          <w:color w:val="000000" w:themeColor="text1"/>
          <w:kern w:val="24"/>
          <w:vertAlign w:val="superscript"/>
        </w:rPr>
        <w:t>,2</w:t>
      </w:r>
      <w:proofErr w:type="gramEnd"/>
      <w:r w:rsidRPr="00047917">
        <w:rPr>
          <w:rFonts w:eastAsiaTheme="minorEastAsia"/>
          <w:b/>
          <w:bCs/>
          <w:color w:val="000000" w:themeColor="text1"/>
          <w:kern w:val="24"/>
        </w:rPr>
        <w:t>, Ed Dager</w:t>
      </w:r>
      <w:r w:rsidRPr="00047917">
        <w:rPr>
          <w:rFonts w:eastAsiaTheme="minorEastAsia"/>
          <w:b/>
          <w:bCs/>
          <w:color w:val="000000" w:themeColor="text1"/>
          <w:kern w:val="24"/>
          <w:vertAlign w:val="superscript"/>
        </w:rPr>
        <w:t>2</w:t>
      </w:r>
      <w:r w:rsidRPr="00047917">
        <w:rPr>
          <w:rFonts w:eastAsiaTheme="minorEastAsia"/>
          <w:b/>
          <w:bCs/>
          <w:color w:val="000000" w:themeColor="text1"/>
          <w:kern w:val="24"/>
        </w:rPr>
        <w:t xml:space="preserve">, </w:t>
      </w:r>
    </w:p>
    <w:p w:rsidR="00047917" w:rsidRPr="00047917" w:rsidRDefault="00047917" w:rsidP="00047917">
      <w:pPr>
        <w:pStyle w:val="NormalWeb"/>
        <w:spacing w:before="0" w:beforeAutospacing="0" w:after="0" w:afterAutospacing="0"/>
        <w:jc w:val="center"/>
        <w:textAlignment w:val="baseline"/>
        <w:rPr>
          <w:u w:val="single"/>
        </w:rPr>
      </w:pPr>
      <w:r w:rsidRPr="00047917">
        <w:rPr>
          <w:rFonts w:eastAsiaTheme="minorEastAsia"/>
          <w:b/>
          <w:bCs/>
          <w:color w:val="000000" w:themeColor="text1"/>
          <w:kern w:val="24"/>
        </w:rPr>
        <w:t>Dan Giurleo</w:t>
      </w:r>
      <w:r w:rsidRPr="00047917">
        <w:rPr>
          <w:rFonts w:eastAsiaTheme="minorEastAsia"/>
          <w:b/>
          <w:bCs/>
          <w:color w:val="000000" w:themeColor="text1"/>
          <w:kern w:val="24"/>
          <w:vertAlign w:val="superscript"/>
        </w:rPr>
        <w:t>1</w:t>
      </w:r>
      <w:r w:rsidRPr="00047917">
        <w:rPr>
          <w:rFonts w:eastAsiaTheme="minorEastAsia"/>
          <w:b/>
          <w:bCs/>
          <w:color w:val="000000" w:themeColor="text1"/>
          <w:kern w:val="24"/>
        </w:rPr>
        <w:t>, L. Maimone</w:t>
      </w:r>
      <w:r w:rsidRPr="00047917">
        <w:rPr>
          <w:rFonts w:eastAsiaTheme="minorEastAsia"/>
          <w:b/>
          <w:bCs/>
          <w:color w:val="000000" w:themeColor="text1"/>
          <w:kern w:val="24"/>
          <w:vertAlign w:val="superscript"/>
        </w:rPr>
        <w:t>2</w:t>
      </w:r>
      <w:r w:rsidRPr="00047917">
        <w:rPr>
          <w:rFonts w:eastAsiaTheme="minorEastAsia"/>
          <w:b/>
          <w:bCs/>
          <w:color w:val="000000" w:themeColor="text1"/>
          <w:kern w:val="24"/>
        </w:rPr>
        <w:t>, John Grande</w:t>
      </w:r>
      <w:r w:rsidRPr="00047917">
        <w:rPr>
          <w:rFonts w:eastAsiaTheme="minorEastAsia"/>
          <w:b/>
          <w:bCs/>
          <w:color w:val="000000" w:themeColor="text1"/>
          <w:kern w:val="24"/>
          <w:vertAlign w:val="superscript"/>
        </w:rPr>
        <w:t>2</w:t>
      </w:r>
      <w:r w:rsidRPr="00047917">
        <w:rPr>
          <w:rFonts w:eastAsiaTheme="minorEastAsia"/>
          <w:b/>
          <w:bCs/>
          <w:color w:val="000000" w:themeColor="text1"/>
          <w:kern w:val="24"/>
        </w:rPr>
        <w:t>, and James Simon</w:t>
      </w:r>
      <w:r w:rsidRPr="00047917">
        <w:rPr>
          <w:rFonts w:eastAsiaTheme="minorEastAsia"/>
          <w:b/>
          <w:bCs/>
          <w:color w:val="000000" w:themeColor="text1"/>
          <w:kern w:val="24"/>
          <w:vertAlign w:val="superscript"/>
        </w:rPr>
        <w:t>1</w:t>
      </w:r>
      <w:proofErr w:type="gramStart"/>
      <w:r w:rsidRPr="00047917">
        <w:rPr>
          <w:rFonts w:eastAsiaTheme="minorEastAsia"/>
          <w:b/>
          <w:bCs/>
          <w:color w:val="000000" w:themeColor="text1"/>
          <w:kern w:val="24"/>
          <w:vertAlign w:val="superscript"/>
        </w:rPr>
        <w:t>,2</w:t>
      </w:r>
      <w:proofErr w:type="gramEnd"/>
    </w:p>
    <w:p w:rsidR="00047917" w:rsidRPr="00047917" w:rsidRDefault="00047917" w:rsidP="00047917">
      <w:pPr>
        <w:pStyle w:val="NormalWeb"/>
        <w:spacing w:before="0" w:beforeAutospacing="0" w:after="0" w:afterAutospacing="0"/>
        <w:jc w:val="center"/>
        <w:textAlignment w:val="baseline"/>
        <w:rPr>
          <w:sz w:val="20"/>
          <w:szCs w:val="20"/>
        </w:rPr>
      </w:pPr>
      <w:r w:rsidRPr="00047917">
        <w:rPr>
          <w:rFonts w:eastAsiaTheme="minorEastAsia"/>
          <w:b/>
          <w:bCs/>
          <w:color w:val="000000" w:themeColor="text1"/>
          <w:kern w:val="24"/>
          <w:sz w:val="20"/>
          <w:szCs w:val="20"/>
          <w:vertAlign w:val="superscript"/>
        </w:rPr>
        <w:t>1</w:t>
      </w:r>
      <w:r w:rsidRPr="00047917">
        <w:rPr>
          <w:rFonts w:eastAsiaTheme="minorEastAsia"/>
          <w:b/>
          <w:bCs/>
          <w:color w:val="000000" w:themeColor="text1"/>
          <w:kern w:val="24"/>
          <w:sz w:val="20"/>
          <w:szCs w:val="20"/>
        </w:rPr>
        <w:t>New Use Agriculture &amp; Natural Plant Products Program and the</w:t>
      </w:r>
    </w:p>
    <w:p w:rsidR="00047917" w:rsidRPr="00047917" w:rsidRDefault="00047917" w:rsidP="00047917">
      <w:pPr>
        <w:pStyle w:val="NormalWeb"/>
        <w:spacing w:before="0" w:beforeAutospacing="0" w:after="0" w:afterAutospacing="0"/>
        <w:jc w:val="center"/>
        <w:textAlignment w:val="baseline"/>
        <w:rPr>
          <w:sz w:val="20"/>
          <w:szCs w:val="20"/>
        </w:rPr>
      </w:pPr>
      <w:r w:rsidRPr="00047917">
        <w:rPr>
          <w:rFonts w:eastAsiaTheme="minorEastAsia"/>
          <w:b/>
          <w:bCs/>
          <w:color w:val="000000" w:themeColor="text1"/>
          <w:kern w:val="24"/>
          <w:sz w:val="20"/>
          <w:szCs w:val="20"/>
        </w:rPr>
        <w:t xml:space="preserve"> </w:t>
      </w:r>
      <w:r w:rsidRPr="00047917">
        <w:rPr>
          <w:rFonts w:eastAsiaTheme="minorEastAsia"/>
          <w:b/>
          <w:bCs/>
          <w:color w:val="000000" w:themeColor="text1"/>
          <w:kern w:val="24"/>
          <w:sz w:val="20"/>
          <w:szCs w:val="20"/>
          <w:vertAlign w:val="superscript"/>
        </w:rPr>
        <w:t>2</w:t>
      </w:r>
      <w:r w:rsidRPr="00047917">
        <w:rPr>
          <w:rFonts w:eastAsiaTheme="minorEastAsia"/>
          <w:b/>
          <w:bCs/>
          <w:color w:val="000000" w:themeColor="text1"/>
          <w:kern w:val="24"/>
          <w:sz w:val="20"/>
          <w:szCs w:val="20"/>
        </w:rPr>
        <w:t xml:space="preserve">New Jersey Agricultural Experiment Station (NJAES), </w:t>
      </w:r>
    </w:p>
    <w:p w:rsidR="00047917" w:rsidRPr="00047917" w:rsidRDefault="00047917" w:rsidP="00047917">
      <w:pPr>
        <w:pStyle w:val="NormalWeb"/>
        <w:spacing w:before="0" w:beforeAutospacing="0" w:after="0" w:afterAutospacing="0"/>
        <w:jc w:val="center"/>
        <w:textAlignment w:val="baseline"/>
        <w:rPr>
          <w:rFonts w:eastAsiaTheme="minorEastAsia"/>
          <w:b/>
          <w:bCs/>
          <w:color w:val="000000" w:themeColor="text1"/>
          <w:kern w:val="24"/>
          <w:sz w:val="20"/>
          <w:szCs w:val="20"/>
        </w:rPr>
      </w:pPr>
      <w:r w:rsidRPr="00047917">
        <w:rPr>
          <w:rFonts w:eastAsiaTheme="minorEastAsia"/>
          <w:b/>
          <w:bCs/>
          <w:color w:val="000000" w:themeColor="text1"/>
          <w:kern w:val="24"/>
          <w:sz w:val="20"/>
          <w:szCs w:val="20"/>
        </w:rPr>
        <w:t xml:space="preserve">School of Environmental and Biological Sciences Rutgers, </w:t>
      </w:r>
      <w:proofErr w:type="gramStart"/>
      <w:r w:rsidRPr="00047917">
        <w:rPr>
          <w:rFonts w:eastAsiaTheme="minorEastAsia"/>
          <w:b/>
          <w:bCs/>
          <w:color w:val="000000" w:themeColor="text1"/>
          <w:kern w:val="24"/>
          <w:sz w:val="20"/>
          <w:szCs w:val="20"/>
        </w:rPr>
        <w:t>The</w:t>
      </w:r>
      <w:proofErr w:type="gramEnd"/>
      <w:r w:rsidRPr="00047917">
        <w:rPr>
          <w:rFonts w:eastAsiaTheme="minorEastAsia"/>
          <w:b/>
          <w:bCs/>
          <w:color w:val="000000" w:themeColor="text1"/>
          <w:kern w:val="24"/>
          <w:sz w:val="20"/>
          <w:szCs w:val="20"/>
        </w:rPr>
        <w:t xml:space="preserve"> State University of New Jersey, </w:t>
      </w:r>
    </w:p>
    <w:p w:rsidR="00047917" w:rsidRPr="00047917" w:rsidRDefault="00047917" w:rsidP="00047917">
      <w:pPr>
        <w:pStyle w:val="NormalWeb"/>
        <w:spacing w:before="0" w:beforeAutospacing="0" w:after="0" w:afterAutospacing="0"/>
        <w:jc w:val="center"/>
        <w:textAlignment w:val="baseline"/>
        <w:rPr>
          <w:sz w:val="20"/>
          <w:szCs w:val="20"/>
        </w:rPr>
      </w:pPr>
      <w:r w:rsidRPr="00047917">
        <w:rPr>
          <w:rFonts w:eastAsiaTheme="minorEastAsia"/>
          <w:b/>
          <w:bCs/>
          <w:color w:val="000000" w:themeColor="text1"/>
          <w:kern w:val="24"/>
          <w:sz w:val="20"/>
          <w:szCs w:val="20"/>
        </w:rPr>
        <w:t xml:space="preserve">59 Dudley Road, New Brunswick, NJ </w:t>
      </w:r>
    </w:p>
    <w:p w:rsidR="000A4E40" w:rsidRDefault="00283910"/>
    <w:p w:rsidR="00047917" w:rsidRDefault="00047917" w:rsidP="00047917">
      <w:pPr>
        <w:pStyle w:val="NormalWeb"/>
        <w:spacing w:before="0" w:beforeAutospacing="0" w:after="0" w:afterAutospacing="0"/>
        <w:jc w:val="both"/>
        <w:textAlignment w:val="baseline"/>
      </w:pPr>
      <w:r w:rsidRPr="00047917">
        <w:rPr>
          <w:rFonts w:eastAsia="Gulim"/>
          <w:b/>
          <w:bCs/>
        </w:rPr>
        <w:t>Project Summary</w:t>
      </w:r>
      <w:r>
        <w:rPr>
          <w:b/>
          <w:bCs/>
        </w:rPr>
        <w:t>:</w:t>
      </w:r>
      <w:r w:rsidRPr="00047917">
        <w:rPr>
          <w:rFonts w:eastAsiaTheme="minorEastAsia" w:cs="Arial"/>
          <w:color w:val="000000" w:themeColor="text1"/>
          <w:kern w:val="24"/>
          <w:sz w:val="56"/>
          <w:szCs w:val="56"/>
        </w:rPr>
        <w:t xml:space="preserve"> </w:t>
      </w:r>
      <w:r w:rsidRPr="00047917">
        <w:rPr>
          <w:rFonts w:eastAsiaTheme="minorEastAsia" w:cs="Arial"/>
          <w:color w:val="000000" w:themeColor="text1"/>
          <w:kern w:val="24"/>
        </w:rPr>
        <w:t>As the microbrewery industry continues to experience steady growth, there is increased interest and demand for locally sourced ingredients one of which is hops. Hops (</w:t>
      </w:r>
      <w:proofErr w:type="spellStart"/>
      <w:r w:rsidRPr="00047917">
        <w:rPr>
          <w:rFonts w:eastAsiaTheme="minorEastAsia" w:cs="Arial"/>
          <w:i/>
          <w:iCs/>
          <w:color w:val="000000" w:themeColor="text1"/>
          <w:kern w:val="24"/>
        </w:rPr>
        <w:t>Humulus</w:t>
      </w:r>
      <w:proofErr w:type="spellEnd"/>
      <w:r w:rsidRPr="00047917">
        <w:rPr>
          <w:rFonts w:eastAsiaTheme="minorEastAsia" w:cs="Arial"/>
          <w:i/>
          <w:iCs/>
          <w:color w:val="000000" w:themeColor="text1"/>
          <w:kern w:val="24"/>
        </w:rPr>
        <w:t xml:space="preserve"> </w:t>
      </w:r>
      <w:proofErr w:type="spellStart"/>
      <w:r w:rsidRPr="00047917">
        <w:rPr>
          <w:rFonts w:eastAsiaTheme="minorEastAsia" w:cs="Arial"/>
          <w:i/>
          <w:iCs/>
          <w:color w:val="000000" w:themeColor="text1"/>
          <w:kern w:val="24"/>
        </w:rPr>
        <w:t>lupulus</w:t>
      </w:r>
      <w:proofErr w:type="spellEnd"/>
      <w:r w:rsidRPr="00047917">
        <w:rPr>
          <w:rFonts w:eastAsiaTheme="minorEastAsia" w:cs="Arial"/>
          <w:color w:val="000000" w:themeColor="text1"/>
          <w:kern w:val="24"/>
        </w:rPr>
        <w:t xml:space="preserve">), </w:t>
      </w:r>
      <w:proofErr w:type="gramStart"/>
      <w:r w:rsidRPr="00047917">
        <w:rPr>
          <w:rFonts w:eastAsiaTheme="minorEastAsia" w:cs="Arial"/>
          <w:color w:val="000000" w:themeColor="text1"/>
          <w:kern w:val="24"/>
        </w:rPr>
        <w:t>are primarily grown</w:t>
      </w:r>
      <w:proofErr w:type="gramEnd"/>
      <w:r w:rsidRPr="00047917">
        <w:rPr>
          <w:rFonts w:eastAsiaTheme="minorEastAsia" w:cs="Arial"/>
          <w:color w:val="000000" w:themeColor="text1"/>
          <w:kern w:val="24"/>
        </w:rPr>
        <w:t xml:space="preserve"> in the Pacific Northwest (PNW) where producers ensure they consistently meet certain quality standards.  Aroma (alpha) and bittering (beta) acid content are among the most important quality control parameters for determining marketability of hops. The reintroduction of hops into New Jersey is of keen interest to NJ and regional brewers, yet there are concerns about the consistency and quality of locally grown hops relative to those grown in the PNW.  The purpose of this project was to assess the quality of hops grown throughout NJ in relation to PNW grown hops.  Alpha and beta acid content was tested in 12 hop varieties from four NJ farms, using an HPLC.  Alpha and beta acid content showed variation of 0-50% from PNW standards, which differed depending on location and genotype.  Although hops sampled from NJ did not consistently match the acid content of PNW grown hops, results did show that the acid content of NJ grown hops </w:t>
      </w:r>
      <w:proofErr w:type="gramStart"/>
      <w:r w:rsidRPr="00047917">
        <w:rPr>
          <w:rFonts w:eastAsiaTheme="minorEastAsia" w:cs="Arial"/>
          <w:color w:val="000000" w:themeColor="text1"/>
          <w:kern w:val="24"/>
        </w:rPr>
        <w:t>can</w:t>
      </w:r>
      <w:proofErr w:type="gramEnd"/>
      <w:r w:rsidRPr="00047917">
        <w:rPr>
          <w:rFonts w:eastAsiaTheme="minorEastAsia" w:cs="Arial"/>
          <w:color w:val="000000" w:themeColor="text1"/>
          <w:kern w:val="24"/>
        </w:rPr>
        <w:t xml:space="preserve"> reach industry standards.  The NJ hops industry is young, and with time, close monitoring, and improved management strategies these quality standards </w:t>
      </w:r>
      <w:proofErr w:type="gramStart"/>
      <w:r w:rsidRPr="00047917">
        <w:rPr>
          <w:rFonts w:eastAsiaTheme="minorEastAsia" w:cs="Arial"/>
          <w:color w:val="000000" w:themeColor="text1"/>
          <w:kern w:val="24"/>
        </w:rPr>
        <w:t>can likely be consistently met</w:t>
      </w:r>
      <w:proofErr w:type="gramEnd"/>
      <w:r w:rsidRPr="00047917">
        <w:rPr>
          <w:rFonts w:eastAsiaTheme="minorEastAsia" w:cs="Arial"/>
          <w:color w:val="000000" w:themeColor="text1"/>
          <w:kern w:val="24"/>
        </w:rPr>
        <w:t xml:space="preserve"> in the future. </w:t>
      </w:r>
    </w:p>
    <w:p w:rsidR="00047917" w:rsidRDefault="00047917" w:rsidP="00047917">
      <w:pPr>
        <w:rPr>
          <w:rFonts w:ascii="Times New Roman" w:hAnsi="Times New Roman" w:cs="Times New Roman"/>
          <w:sz w:val="24"/>
          <w:szCs w:val="24"/>
        </w:rPr>
      </w:pPr>
    </w:p>
    <w:p w:rsidR="00047917" w:rsidRDefault="00047917" w:rsidP="00047917">
      <w:pPr>
        <w:pStyle w:val="NormalWeb"/>
        <w:spacing w:before="0" w:beforeAutospacing="0" w:after="0" w:afterAutospacing="0"/>
        <w:jc w:val="both"/>
        <w:textAlignment w:val="baseline"/>
        <w:rPr>
          <w:rFonts w:asciiTheme="minorHAnsi" w:eastAsiaTheme="minorEastAsia" w:cs="Times"/>
          <w:b/>
          <w:bCs/>
          <w:color w:val="000000" w:themeColor="text1"/>
          <w:kern w:val="24"/>
          <w:sz w:val="56"/>
          <w:szCs w:val="56"/>
        </w:rPr>
      </w:pPr>
      <w:r w:rsidRPr="00047917">
        <w:rPr>
          <w:rFonts w:eastAsia="Gulim"/>
          <w:b/>
          <w:bCs/>
          <w:color w:val="000000" w:themeColor="text1"/>
          <w:kern w:val="24"/>
        </w:rPr>
        <w:t>Materials and Methods</w:t>
      </w:r>
      <w:r>
        <w:rPr>
          <w:rFonts w:eastAsia="Gulim"/>
          <w:b/>
          <w:bCs/>
          <w:color w:val="000000" w:themeColor="text1"/>
          <w:kern w:val="24"/>
        </w:rPr>
        <w:t>:</w:t>
      </w:r>
      <w:r w:rsidRPr="00047917">
        <w:rPr>
          <w:rFonts w:asciiTheme="minorHAnsi" w:eastAsiaTheme="minorEastAsia" w:cs="Times"/>
          <w:b/>
          <w:bCs/>
          <w:color w:val="000000" w:themeColor="text1"/>
          <w:kern w:val="24"/>
          <w:sz w:val="56"/>
          <w:szCs w:val="56"/>
        </w:rPr>
        <w:t xml:space="preserve"> </w:t>
      </w:r>
    </w:p>
    <w:p w:rsidR="00047917" w:rsidRPr="00047917" w:rsidRDefault="00047917" w:rsidP="00047917">
      <w:pPr>
        <w:pStyle w:val="NormalWeb"/>
        <w:spacing w:before="0" w:beforeAutospacing="0" w:after="0" w:afterAutospacing="0"/>
        <w:jc w:val="both"/>
        <w:textAlignment w:val="baseline"/>
      </w:pPr>
      <w:r w:rsidRPr="00047917">
        <w:rPr>
          <w:rFonts w:eastAsiaTheme="minorEastAsia"/>
          <w:b/>
          <w:bCs/>
          <w:i/>
          <w:color w:val="000000" w:themeColor="text1"/>
          <w:kern w:val="24"/>
        </w:rPr>
        <w:t>Plant Material</w:t>
      </w:r>
      <w:r w:rsidRPr="00047917">
        <w:rPr>
          <w:i/>
        </w:rPr>
        <w:t>:</w:t>
      </w:r>
      <w:r>
        <w:t xml:space="preserve"> </w:t>
      </w:r>
      <w:r w:rsidRPr="00047917">
        <w:rPr>
          <w:rFonts w:eastAsiaTheme="minorEastAsia"/>
          <w:color w:val="000000" w:themeColor="text1"/>
          <w:kern w:val="24"/>
        </w:rPr>
        <w:t xml:space="preserve">SARE partnership growers contributed dried hop cone samples (approximately 8% moisture) from three locations in New Jersey representing 12 hop varieties, which were analyzed for bittering alpha/beta acid content (Figures 1 and 2). </w:t>
      </w:r>
    </w:p>
    <w:p w:rsidR="00047917" w:rsidRPr="00047917" w:rsidRDefault="00047917" w:rsidP="00047917">
      <w:pPr>
        <w:pStyle w:val="NormalWeb"/>
        <w:spacing w:before="0" w:beforeAutospacing="0" w:after="0" w:afterAutospacing="0"/>
        <w:jc w:val="both"/>
        <w:textAlignment w:val="baseline"/>
        <w:rPr>
          <w:i/>
        </w:rPr>
      </w:pPr>
      <w:r w:rsidRPr="00047917">
        <w:rPr>
          <w:rFonts w:eastAsiaTheme="minorEastAsia"/>
          <w:b/>
          <w:bCs/>
          <w:i/>
          <w:color w:val="000000" w:themeColor="text1"/>
          <w:kern w:val="24"/>
        </w:rPr>
        <w:t>Identification, quantification and analysis of hop bittering compounds</w:t>
      </w:r>
      <w:r w:rsidRPr="00047917">
        <w:rPr>
          <w:rFonts w:eastAsiaTheme="minorEastAsia"/>
          <w:b/>
          <w:bCs/>
          <w:i/>
          <w:color w:val="000000" w:themeColor="text1"/>
          <w:kern w:val="24"/>
        </w:rPr>
        <w:t>:</w:t>
      </w:r>
      <w:r>
        <w:rPr>
          <w:i/>
        </w:rPr>
        <w:t xml:space="preserve"> </w:t>
      </w:r>
      <w:r w:rsidRPr="00047917">
        <w:rPr>
          <w:rFonts w:eastAsiaTheme="minorEastAsia"/>
          <w:color w:val="000000" w:themeColor="text1"/>
          <w:kern w:val="24"/>
        </w:rPr>
        <w:t xml:space="preserve">Bittering acids </w:t>
      </w:r>
      <w:proofErr w:type="spellStart"/>
      <w:r w:rsidRPr="00047917">
        <w:rPr>
          <w:rFonts w:eastAsiaTheme="minorEastAsia"/>
          <w:color w:val="000000" w:themeColor="text1"/>
          <w:kern w:val="24"/>
        </w:rPr>
        <w:t>cohumulone</w:t>
      </w:r>
      <w:proofErr w:type="spellEnd"/>
      <w:r w:rsidRPr="00047917">
        <w:rPr>
          <w:rFonts w:eastAsiaTheme="minorEastAsia"/>
          <w:color w:val="000000" w:themeColor="text1"/>
          <w:kern w:val="24"/>
        </w:rPr>
        <w:t xml:space="preserve">, </w:t>
      </w:r>
      <w:proofErr w:type="spellStart"/>
      <w:r w:rsidRPr="00047917">
        <w:rPr>
          <w:rFonts w:eastAsiaTheme="minorEastAsia"/>
          <w:color w:val="000000" w:themeColor="text1"/>
          <w:kern w:val="24"/>
        </w:rPr>
        <w:t>n+adhumulone</w:t>
      </w:r>
      <w:proofErr w:type="spellEnd"/>
      <w:r w:rsidRPr="00047917">
        <w:rPr>
          <w:rFonts w:eastAsiaTheme="minorEastAsia"/>
          <w:color w:val="000000" w:themeColor="text1"/>
          <w:kern w:val="24"/>
        </w:rPr>
        <w:t xml:space="preserve">, </w:t>
      </w:r>
      <w:proofErr w:type="spellStart"/>
      <w:r w:rsidRPr="00047917">
        <w:rPr>
          <w:rFonts w:eastAsiaTheme="minorEastAsia"/>
          <w:color w:val="000000" w:themeColor="text1"/>
          <w:kern w:val="24"/>
        </w:rPr>
        <w:t>colupulone</w:t>
      </w:r>
      <w:proofErr w:type="spellEnd"/>
      <w:r w:rsidRPr="00047917">
        <w:rPr>
          <w:rFonts w:eastAsiaTheme="minorEastAsia"/>
          <w:color w:val="000000" w:themeColor="text1"/>
          <w:kern w:val="24"/>
        </w:rPr>
        <w:t xml:space="preserve">, </w:t>
      </w:r>
      <w:proofErr w:type="spellStart"/>
      <w:r w:rsidRPr="00047917">
        <w:rPr>
          <w:rFonts w:eastAsiaTheme="minorEastAsia"/>
          <w:color w:val="000000" w:themeColor="text1"/>
          <w:kern w:val="24"/>
        </w:rPr>
        <w:t>n+adlupulone</w:t>
      </w:r>
      <w:proofErr w:type="spellEnd"/>
      <w:r w:rsidRPr="00047917">
        <w:rPr>
          <w:rFonts w:eastAsiaTheme="minorEastAsia"/>
          <w:color w:val="000000" w:themeColor="text1"/>
          <w:kern w:val="24"/>
        </w:rPr>
        <w:t xml:space="preserve"> </w:t>
      </w:r>
      <w:proofErr w:type="gramStart"/>
      <w:r w:rsidRPr="00047917">
        <w:rPr>
          <w:rFonts w:eastAsiaTheme="minorEastAsia"/>
          <w:color w:val="000000" w:themeColor="text1"/>
          <w:kern w:val="24"/>
        </w:rPr>
        <w:t>were separated and identified by HPLC-UV</w:t>
      </w:r>
      <w:proofErr w:type="gramEnd"/>
      <w:r w:rsidRPr="00047917">
        <w:rPr>
          <w:rFonts w:eastAsiaTheme="minorEastAsia"/>
          <w:color w:val="000000" w:themeColor="text1"/>
          <w:kern w:val="24"/>
        </w:rPr>
        <w:t xml:space="preserve">. Dried hop samples submitted by growers and two </w:t>
      </w:r>
      <w:proofErr w:type="gramStart"/>
      <w:r w:rsidRPr="00047917">
        <w:rPr>
          <w:rFonts w:eastAsiaTheme="minorEastAsia"/>
          <w:color w:val="000000" w:themeColor="text1"/>
          <w:kern w:val="24"/>
        </w:rPr>
        <w:t>10 gram</w:t>
      </w:r>
      <w:proofErr w:type="gramEnd"/>
      <w:r w:rsidRPr="00047917">
        <w:rPr>
          <w:rFonts w:eastAsiaTheme="minorEastAsia"/>
          <w:color w:val="000000" w:themeColor="text1"/>
          <w:kern w:val="24"/>
        </w:rPr>
        <w:t xml:space="preserve"> samples were each randomly subsampled and extracted as biological replicates. Each of the four bittering acids </w:t>
      </w:r>
      <w:proofErr w:type="gramStart"/>
      <w:r w:rsidRPr="00047917">
        <w:rPr>
          <w:rFonts w:eastAsiaTheme="minorEastAsia"/>
          <w:color w:val="000000" w:themeColor="text1"/>
          <w:kern w:val="24"/>
        </w:rPr>
        <w:t>were quantified</w:t>
      </w:r>
      <w:proofErr w:type="gramEnd"/>
      <w:r w:rsidRPr="00047917">
        <w:rPr>
          <w:rFonts w:eastAsiaTheme="minorEastAsia"/>
          <w:color w:val="000000" w:themeColor="text1"/>
          <w:kern w:val="24"/>
        </w:rPr>
        <w:t xml:space="preserve"> for each sample according to ASBC method Hops-14, using the International Calibration Extract 3 (ICE-3) to calculate response factors. Acids </w:t>
      </w:r>
      <w:proofErr w:type="gramStart"/>
      <w:r w:rsidRPr="00047917">
        <w:rPr>
          <w:rFonts w:eastAsiaTheme="minorEastAsia"/>
          <w:color w:val="000000" w:themeColor="text1"/>
          <w:kern w:val="24"/>
        </w:rPr>
        <w:t>are reported</w:t>
      </w:r>
      <w:proofErr w:type="gramEnd"/>
      <w:r w:rsidRPr="00047917">
        <w:rPr>
          <w:rFonts w:eastAsiaTheme="minorEastAsia"/>
          <w:color w:val="000000" w:themeColor="text1"/>
          <w:kern w:val="24"/>
        </w:rPr>
        <w:t xml:space="preserve"> as percentage of component by weight.</w:t>
      </w:r>
    </w:p>
    <w:p w:rsidR="00047917" w:rsidRPr="00047917" w:rsidRDefault="00047917" w:rsidP="00047917">
      <w:pPr>
        <w:rPr>
          <w:rFonts w:ascii="Times New Roman" w:hAnsi="Times New Roman" w:cs="Times New Roman"/>
          <w:sz w:val="24"/>
          <w:szCs w:val="24"/>
        </w:rPr>
      </w:pPr>
    </w:p>
    <w:p w:rsidR="00AB7F60" w:rsidRDefault="00AB7F60">
      <w:pPr>
        <w:sectPr w:rsidR="00AB7F60" w:rsidSect="00AB7F60">
          <w:pgSz w:w="12240" w:h="15840"/>
          <w:pgMar w:top="720" w:right="720" w:bottom="720" w:left="720" w:header="720" w:footer="720" w:gutter="0"/>
          <w:cols w:space="720"/>
          <w:docGrid w:linePitch="360"/>
        </w:sectPr>
      </w:pPr>
    </w:p>
    <w:p w:rsidR="00047917" w:rsidRDefault="00385394">
      <w:r>
        <w:rPr>
          <w:noProof/>
        </w:rPr>
        <w:lastRenderedPageBreak/>
        <w:drawing>
          <wp:anchor distT="0" distB="0" distL="114300" distR="114300" simplePos="0" relativeHeight="251658240" behindDoc="1" locked="0" layoutInCell="1" allowOverlap="1">
            <wp:simplePos x="0" y="0"/>
            <wp:positionH relativeFrom="column">
              <wp:posOffset>-276225</wp:posOffset>
            </wp:positionH>
            <wp:positionV relativeFrom="paragraph">
              <wp:posOffset>0</wp:posOffset>
            </wp:positionV>
            <wp:extent cx="8924925" cy="5505450"/>
            <wp:effectExtent l="0" t="0" r="9525" b="0"/>
            <wp:wrapTight wrapText="bothSides">
              <wp:wrapPolygon edited="0">
                <wp:start x="0" y="0"/>
                <wp:lineTo x="0" y="21525"/>
                <wp:lineTo x="21578" y="21525"/>
                <wp:lineTo x="2157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Default="00385394"/>
    <w:p w:rsidR="00385394" w:rsidRPr="00385394" w:rsidRDefault="00385394" w:rsidP="00385394">
      <w:pPr>
        <w:pStyle w:val="NormalWeb"/>
        <w:spacing w:before="0" w:beforeAutospacing="0" w:after="0" w:afterAutospacing="0"/>
        <w:jc w:val="both"/>
        <w:textAlignment w:val="baseline"/>
      </w:pPr>
      <w:r w:rsidRPr="00385394">
        <w:rPr>
          <w:rFonts w:ascii="Times" w:eastAsiaTheme="minorEastAsia" w:hAnsi="Times" w:cs="Times"/>
          <w:b/>
          <w:bCs/>
          <w:color w:val="000000" w:themeColor="text1"/>
          <w:kern w:val="24"/>
        </w:rPr>
        <w:t xml:space="preserve">Figure 1. </w:t>
      </w:r>
      <w:r w:rsidRPr="00385394">
        <w:rPr>
          <w:rFonts w:eastAsiaTheme="minorEastAsia" w:cs="Arial"/>
          <w:b/>
          <w:bCs/>
          <w:color w:val="000000" w:themeColor="text1"/>
          <w:kern w:val="24"/>
        </w:rPr>
        <w:t xml:space="preserve">Alpha acid percentages of the hop samples tested including from the demonstration plot (Snyder Plot) and growers throughout </w:t>
      </w:r>
      <w:proofErr w:type="gramStart"/>
      <w:r w:rsidRPr="00385394">
        <w:rPr>
          <w:rFonts w:eastAsiaTheme="minorEastAsia" w:cs="Arial"/>
          <w:b/>
          <w:bCs/>
          <w:color w:val="000000" w:themeColor="text1"/>
          <w:kern w:val="24"/>
        </w:rPr>
        <w:t>NJ  in</w:t>
      </w:r>
      <w:proofErr w:type="gramEnd"/>
      <w:r w:rsidRPr="00385394">
        <w:rPr>
          <w:rFonts w:eastAsiaTheme="minorEastAsia" w:cs="Arial"/>
          <w:b/>
          <w:bCs/>
          <w:color w:val="000000" w:themeColor="text1"/>
          <w:kern w:val="24"/>
        </w:rPr>
        <w:t xml:space="preserve"> comparison to the industry standard (YCH Hops), the top sample in each boxed cultivar.</w:t>
      </w:r>
      <w:r w:rsidRPr="00385394">
        <w:rPr>
          <w:rFonts w:ascii="Times" w:eastAsiaTheme="minorEastAsia" w:hAnsi="Times" w:cs="Times"/>
          <w:b/>
          <w:bCs/>
          <w:color w:val="000000" w:themeColor="text1"/>
          <w:kern w:val="24"/>
        </w:rPr>
        <w:t xml:space="preserve">   </w:t>
      </w:r>
    </w:p>
    <w:p w:rsidR="00385394" w:rsidRDefault="00385394">
      <w:pPr>
        <w:rPr>
          <w:sz w:val="24"/>
          <w:szCs w:val="24"/>
        </w:rPr>
      </w:pPr>
    </w:p>
    <w:p w:rsidR="00385394" w:rsidRDefault="00385394">
      <w:pPr>
        <w:rPr>
          <w:sz w:val="24"/>
          <w:szCs w:val="24"/>
        </w:rPr>
      </w:pPr>
    </w:p>
    <w:p w:rsidR="00385394" w:rsidRDefault="00385394">
      <w:pPr>
        <w:rPr>
          <w:sz w:val="24"/>
          <w:szCs w:val="24"/>
        </w:rPr>
      </w:pPr>
    </w:p>
    <w:p w:rsidR="00385394" w:rsidRDefault="00385394">
      <w:pPr>
        <w:rPr>
          <w:sz w:val="24"/>
          <w:szCs w:val="24"/>
        </w:rPr>
      </w:pPr>
      <w:r>
        <w:rPr>
          <w:noProof/>
        </w:rPr>
        <w:lastRenderedPageBreak/>
        <w:drawing>
          <wp:anchor distT="0" distB="0" distL="114300" distR="114300" simplePos="0" relativeHeight="251659264" behindDoc="1" locked="0" layoutInCell="1" allowOverlap="1">
            <wp:simplePos x="0" y="0"/>
            <wp:positionH relativeFrom="column">
              <wp:posOffset>-243840</wp:posOffset>
            </wp:positionH>
            <wp:positionV relativeFrom="paragraph">
              <wp:posOffset>5715</wp:posOffset>
            </wp:positionV>
            <wp:extent cx="8917940" cy="5956935"/>
            <wp:effectExtent l="0" t="0" r="16510" b="5715"/>
            <wp:wrapTight wrapText="bothSides">
              <wp:wrapPolygon edited="0">
                <wp:start x="0" y="0"/>
                <wp:lineTo x="0" y="21552"/>
                <wp:lineTo x="21594" y="21552"/>
                <wp:lineTo x="21594"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p>
    <w:p w:rsidR="00385394" w:rsidRPr="00385394" w:rsidRDefault="00385394" w:rsidP="00385394">
      <w:pPr>
        <w:pStyle w:val="NormalWeb"/>
        <w:spacing w:before="0" w:beforeAutospacing="0" w:after="0" w:afterAutospacing="0"/>
        <w:jc w:val="both"/>
        <w:textAlignment w:val="baseline"/>
      </w:pPr>
      <w:r w:rsidRPr="00385394">
        <w:rPr>
          <w:rFonts w:ascii="Times" w:eastAsiaTheme="minorEastAsia" w:hAnsi="Times" w:cs="Times"/>
          <w:b/>
          <w:bCs/>
          <w:color w:val="000000" w:themeColor="text1"/>
          <w:kern w:val="24"/>
        </w:rPr>
        <w:t xml:space="preserve">Figure 2. </w:t>
      </w:r>
      <w:r w:rsidRPr="00385394">
        <w:rPr>
          <w:rFonts w:eastAsiaTheme="minorEastAsia" w:cs="Arial"/>
          <w:b/>
          <w:bCs/>
          <w:color w:val="000000" w:themeColor="text1"/>
          <w:kern w:val="24"/>
        </w:rPr>
        <w:t>Beta acid percentages of the hop samples tested including from the demonstration plot (Snyder Plot) and growers throughout NJ   in comparison to the industry standard (YCH Hops), the top sample in each boxed cultivar.</w:t>
      </w:r>
      <w:r w:rsidRPr="00385394">
        <w:rPr>
          <w:rFonts w:ascii="Times" w:eastAsiaTheme="minorEastAsia" w:hAnsi="Times" w:cs="Times"/>
          <w:b/>
          <w:bCs/>
          <w:color w:val="000000" w:themeColor="text1"/>
          <w:kern w:val="24"/>
        </w:rPr>
        <w:t xml:space="preserve">   </w:t>
      </w:r>
    </w:p>
    <w:p w:rsidR="00385394" w:rsidRDefault="00385394">
      <w:pPr>
        <w:rPr>
          <w:sz w:val="24"/>
          <w:szCs w:val="24"/>
        </w:rPr>
      </w:pPr>
    </w:p>
    <w:p w:rsidR="00AB7595" w:rsidRDefault="00AB7595" w:rsidP="00AB7595">
      <w:pPr>
        <w:rPr>
          <w:rFonts w:ascii="Times New Roman" w:hAnsi="Times New Roman" w:cs="Times New Roman"/>
          <w:b/>
          <w:bCs/>
          <w:sz w:val="24"/>
          <w:szCs w:val="24"/>
        </w:rPr>
        <w:sectPr w:rsidR="00AB7595" w:rsidSect="00AB7F60">
          <w:pgSz w:w="15840" w:h="12240" w:orient="landscape"/>
          <w:pgMar w:top="720" w:right="720" w:bottom="720" w:left="720" w:header="720" w:footer="720" w:gutter="0"/>
          <w:cols w:space="720"/>
          <w:docGrid w:linePitch="360"/>
        </w:sectPr>
      </w:pPr>
    </w:p>
    <w:p w:rsidR="00AB7F60" w:rsidRPr="00AB7F60" w:rsidRDefault="00AB7595" w:rsidP="00AB7F60">
      <w:pPr>
        <w:pStyle w:val="NormalWeb"/>
        <w:spacing w:before="336" w:beforeAutospacing="0" w:after="0" w:afterAutospacing="0" w:line="264" w:lineRule="auto"/>
        <w:jc w:val="both"/>
        <w:textAlignment w:val="baseline"/>
      </w:pPr>
      <w:r w:rsidRPr="00AB7595">
        <w:rPr>
          <w:rFonts w:eastAsia="Gulim"/>
          <w:b/>
          <w:bCs/>
        </w:rPr>
        <w:lastRenderedPageBreak/>
        <w:t>Results</w:t>
      </w:r>
      <w:r w:rsidR="00AB7F60">
        <w:rPr>
          <w:b/>
          <w:bCs/>
        </w:rPr>
        <w:t xml:space="preserve">: </w:t>
      </w:r>
      <w:r w:rsidR="00AB7F60" w:rsidRPr="00AB7F60">
        <w:rPr>
          <w:rFonts w:eastAsia="Gulim"/>
          <w:color w:val="000000" w:themeColor="text1"/>
          <w:kern w:val="24"/>
        </w:rPr>
        <w:t xml:space="preserve">Data collected from </w:t>
      </w:r>
      <w:proofErr w:type="spellStart"/>
      <w:r w:rsidR="00AB7F60" w:rsidRPr="00AB7F60">
        <w:rPr>
          <w:rFonts w:eastAsia="Gulim"/>
          <w:color w:val="000000" w:themeColor="text1"/>
          <w:kern w:val="24"/>
        </w:rPr>
        <w:t>hopyards</w:t>
      </w:r>
      <w:proofErr w:type="spellEnd"/>
      <w:r w:rsidR="00AB7F60" w:rsidRPr="00AB7F60">
        <w:rPr>
          <w:rFonts w:eastAsia="Gulim"/>
          <w:color w:val="000000" w:themeColor="text1"/>
          <w:kern w:val="24"/>
        </w:rPr>
        <w:t xml:space="preserve"> throughout New Jersey provides insight into the bittering and flavor profiles of hops grown in Mid-Atlantic hardiness zones. Both alpha and beta acid content appear to be variable within all varieties tested. </w:t>
      </w:r>
      <w:r w:rsidR="00AB7F60" w:rsidRPr="00AB7F60">
        <w:rPr>
          <w:rFonts w:eastAsiaTheme="minorEastAsia"/>
          <w:color w:val="000000"/>
          <w:kern w:val="24"/>
        </w:rPr>
        <w:t xml:space="preserve">Alpha acid content of grower and demonstration plot hops all fell outside of the industry standard range with the exception of one growers Mangum hop sample (Figure 1).  On a whole </w:t>
      </w:r>
      <w:proofErr w:type="gramStart"/>
      <w:r w:rsidR="00AB7F60" w:rsidRPr="00AB7F60">
        <w:rPr>
          <w:rFonts w:eastAsiaTheme="minorEastAsia" w:cs="Arial"/>
          <w:color w:val="000000" w:themeColor="text1"/>
          <w:kern w:val="24"/>
        </w:rPr>
        <w:t>beta</w:t>
      </w:r>
      <w:proofErr w:type="gramEnd"/>
      <w:r w:rsidR="00AB7F60" w:rsidRPr="00AB7F60">
        <w:rPr>
          <w:rFonts w:eastAsiaTheme="minorEastAsia" w:cs="Arial"/>
          <w:color w:val="000000" w:themeColor="text1"/>
          <w:kern w:val="24"/>
        </w:rPr>
        <w:t xml:space="preserve"> acid content across all grower samples fell closer to the industry standard ranges.  This </w:t>
      </w:r>
      <w:proofErr w:type="gramStart"/>
      <w:r w:rsidR="00AB7F60" w:rsidRPr="00AB7F60">
        <w:rPr>
          <w:rFonts w:eastAsiaTheme="minorEastAsia" w:cs="Arial"/>
          <w:color w:val="000000" w:themeColor="text1"/>
          <w:kern w:val="24"/>
        </w:rPr>
        <w:t>was specifically observed</w:t>
      </w:r>
      <w:proofErr w:type="gramEnd"/>
      <w:r w:rsidR="00AB7F60" w:rsidRPr="00AB7F60">
        <w:rPr>
          <w:rFonts w:eastAsiaTheme="minorEastAsia" w:cs="Arial"/>
          <w:color w:val="000000" w:themeColor="text1"/>
          <w:kern w:val="24"/>
        </w:rPr>
        <w:t xml:space="preserve"> in the varieties Magnum, Nugget, and Cascade (Figure 2).  In the future, we hope to improve the quality and decrease variation of acid profiles of NJ grown hops, </w:t>
      </w:r>
      <w:proofErr w:type="gramStart"/>
      <w:r w:rsidR="00AB7F60" w:rsidRPr="00AB7F60">
        <w:rPr>
          <w:rFonts w:eastAsiaTheme="minorEastAsia" w:cs="Arial"/>
          <w:color w:val="000000" w:themeColor="text1"/>
          <w:kern w:val="24"/>
        </w:rPr>
        <w:t>through the use of</w:t>
      </w:r>
      <w:proofErr w:type="gramEnd"/>
      <w:r w:rsidR="00AB7F60" w:rsidRPr="00AB7F60">
        <w:rPr>
          <w:rFonts w:eastAsiaTheme="minorEastAsia" w:cs="Arial"/>
          <w:color w:val="000000" w:themeColor="text1"/>
          <w:kern w:val="24"/>
        </w:rPr>
        <w:t xml:space="preserve"> improved horticultural practices coupled with standardized harvesting and drying protocols for hop cones.</w:t>
      </w:r>
    </w:p>
    <w:p w:rsidR="00AB7F60" w:rsidRDefault="00AB7F60" w:rsidP="00AB7F60">
      <w:pPr>
        <w:pStyle w:val="NormalWeb"/>
        <w:spacing w:before="336" w:beforeAutospacing="0" w:after="0" w:afterAutospacing="0" w:line="264" w:lineRule="auto"/>
        <w:jc w:val="both"/>
        <w:textAlignment w:val="baseline"/>
      </w:pPr>
      <w:r w:rsidRPr="00AB7F60">
        <w:rPr>
          <w:rFonts w:eastAsia="Gulim"/>
          <w:b/>
          <w:bCs/>
          <w:color w:val="000000" w:themeColor="text1"/>
          <w:kern w:val="24"/>
        </w:rPr>
        <w:t>Conclusion</w:t>
      </w:r>
      <w:r>
        <w:rPr>
          <w:rFonts w:eastAsia="Gulim"/>
          <w:b/>
          <w:bCs/>
          <w:color w:val="000000" w:themeColor="text1"/>
          <w:kern w:val="24"/>
        </w:rPr>
        <w:t xml:space="preserve">s: </w:t>
      </w:r>
      <w:r w:rsidRPr="00AB7F60">
        <w:rPr>
          <w:rFonts w:eastAsia="Gulim"/>
          <w:color w:val="000000" w:themeColor="text1"/>
          <w:kern w:val="24"/>
        </w:rPr>
        <w:t xml:space="preserve">Given the infancy of this crop in the Northeastern US, these results provide substantiating evidence for the potential to grow certain varieties of hops as a value-added crop in NJ in the future. However, multi-year data </w:t>
      </w:r>
      <w:proofErr w:type="gramStart"/>
      <w:r w:rsidRPr="00AB7F60">
        <w:rPr>
          <w:rFonts w:eastAsia="Gulim"/>
          <w:color w:val="000000" w:themeColor="text1"/>
          <w:kern w:val="24"/>
        </w:rPr>
        <w:t>is needed</w:t>
      </w:r>
      <w:proofErr w:type="gramEnd"/>
      <w:r w:rsidRPr="00AB7F60">
        <w:rPr>
          <w:rFonts w:eastAsia="Gulim"/>
          <w:color w:val="000000" w:themeColor="text1"/>
          <w:kern w:val="24"/>
        </w:rPr>
        <w:t xml:space="preserve"> for the locations surveyed in this study to determine whether biochemical profiles remain consistent year to year. In the future special focus </w:t>
      </w:r>
      <w:proofErr w:type="gramStart"/>
      <w:r w:rsidRPr="00AB7F60">
        <w:rPr>
          <w:rFonts w:eastAsia="Gulim"/>
          <w:color w:val="000000" w:themeColor="text1"/>
          <w:kern w:val="24"/>
        </w:rPr>
        <w:t>will be put</w:t>
      </w:r>
      <w:proofErr w:type="gramEnd"/>
      <w:r w:rsidRPr="00AB7F60">
        <w:rPr>
          <w:rFonts w:eastAsia="Gulim"/>
          <w:color w:val="000000" w:themeColor="text1"/>
          <w:kern w:val="24"/>
        </w:rPr>
        <w:t xml:space="preserve"> on finding </w:t>
      </w:r>
      <w:proofErr w:type="spellStart"/>
      <w:r w:rsidRPr="00AB7F60">
        <w:rPr>
          <w:rFonts w:eastAsia="Gulim"/>
          <w:color w:val="000000" w:themeColor="text1"/>
          <w:kern w:val="24"/>
        </w:rPr>
        <w:t>post harvest</w:t>
      </w:r>
      <w:proofErr w:type="spellEnd"/>
      <w:r w:rsidRPr="00AB7F60">
        <w:rPr>
          <w:rFonts w:eastAsia="Gulim"/>
          <w:color w:val="000000" w:themeColor="text1"/>
          <w:kern w:val="24"/>
        </w:rPr>
        <w:t xml:space="preserve"> protocols/methods to help growers attain industry bittering acid quality standards. The success of New Jersey and Mid-Atlantic hop growers in securing multi-year contracts with breweries will be contingent upon the ability of growers to provide consistent hop yields, and acid quality. Additional work will also need to be done to assess the volatile composition of these hop samples. This information will help </w:t>
      </w:r>
      <w:proofErr w:type="gramStart"/>
      <w:r w:rsidRPr="00AB7F60">
        <w:rPr>
          <w:rFonts w:eastAsia="Gulim"/>
          <w:color w:val="000000" w:themeColor="text1"/>
          <w:kern w:val="24"/>
        </w:rPr>
        <w:t>growers</w:t>
      </w:r>
      <w:proofErr w:type="gramEnd"/>
      <w:r w:rsidRPr="00AB7F60">
        <w:rPr>
          <w:rFonts w:eastAsia="Gulim"/>
          <w:color w:val="000000" w:themeColor="text1"/>
          <w:kern w:val="24"/>
        </w:rPr>
        <w:t xml:space="preserve"> market varieties as having northeast regional terroir.</w:t>
      </w:r>
    </w:p>
    <w:p w:rsidR="00AB7F60" w:rsidRPr="00AB7F60" w:rsidRDefault="00AB7F60" w:rsidP="00AB7F60">
      <w:pPr>
        <w:pStyle w:val="NormalWeb"/>
        <w:spacing w:before="0" w:beforeAutospacing="0" w:after="0" w:afterAutospacing="0"/>
        <w:jc w:val="both"/>
        <w:textAlignment w:val="baseline"/>
      </w:pPr>
    </w:p>
    <w:p w:rsidR="00AB7F60" w:rsidRPr="00AB7F60" w:rsidRDefault="00AB7F60" w:rsidP="00AB7F60">
      <w:pPr>
        <w:pStyle w:val="NormalWeb"/>
        <w:spacing w:before="0" w:beforeAutospacing="0" w:after="0" w:afterAutospacing="0"/>
        <w:textAlignment w:val="baseline"/>
      </w:pPr>
      <w:r w:rsidRPr="00AB7F60">
        <w:rPr>
          <w:rFonts w:eastAsia="Gulim"/>
          <w:b/>
          <w:bCs/>
          <w:color w:val="000000" w:themeColor="text1"/>
          <w:kern w:val="24"/>
        </w:rPr>
        <w:t xml:space="preserve">References: </w:t>
      </w:r>
      <w:r w:rsidRPr="00AB7F60">
        <w:rPr>
          <w:rFonts w:eastAsiaTheme="minorEastAsia"/>
          <w:color w:val="000000" w:themeColor="text1"/>
          <w:kern w:val="24"/>
        </w:rPr>
        <w:t xml:space="preserve">ASBC Methods of Analysis, online. Method Hops-14. </w:t>
      </w:r>
      <w:proofErr w:type="gramStart"/>
      <w:r w:rsidRPr="00AB7F60">
        <w:rPr>
          <w:rFonts w:eastAsiaTheme="minorEastAsia"/>
          <w:color w:val="000000" w:themeColor="text1"/>
          <w:kern w:val="24"/>
        </w:rPr>
        <w:t>α-Acids</w:t>
      </w:r>
      <w:proofErr w:type="gramEnd"/>
      <w:r w:rsidRPr="00AB7F60">
        <w:rPr>
          <w:rFonts w:eastAsiaTheme="minorEastAsia"/>
          <w:color w:val="000000" w:themeColor="text1"/>
          <w:kern w:val="24"/>
        </w:rPr>
        <w:t xml:space="preserve"> and β-acids in hops and hop extracts (International Method). Approved 1990, rev. 2008. American Society for Brewing </w:t>
      </w:r>
      <w:r w:rsidRPr="00AB7F60">
        <w:rPr>
          <w:rFonts w:eastAsiaTheme="minorEastAsia"/>
          <w:color w:val="000000" w:themeColor="text1"/>
          <w:kern w:val="24"/>
        </w:rPr>
        <w:t xml:space="preserve">Chemists, St. Paul, MN, U.S.A. </w:t>
      </w:r>
      <w:proofErr w:type="spellStart"/>
      <w:r w:rsidRPr="00AB7F60">
        <w:rPr>
          <w:rFonts w:eastAsiaTheme="minorEastAsia"/>
          <w:color w:val="000000" w:themeColor="text1"/>
          <w:kern w:val="24"/>
        </w:rPr>
        <w:t>doi</w:t>
      </w:r>
      <w:proofErr w:type="spellEnd"/>
      <w:r w:rsidRPr="00AB7F60">
        <w:rPr>
          <w:rFonts w:eastAsiaTheme="minorEastAsia"/>
          <w:color w:val="000000" w:themeColor="text1"/>
          <w:kern w:val="24"/>
        </w:rPr>
        <w:t xml:space="preserve">: 10.1094/ASBCMOA-Hops-14 </w:t>
      </w:r>
    </w:p>
    <w:p w:rsidR="00AB7F60" w:rsidRPr="00AB7F60" w:rsidRDefault="00AB7F60" w:rsidP="00AB7F60">
      <w:pPr>
        <w:pStyle w:val="NormalWeb"/>
        <w:spacing w:before="0" w:beforeAutospacing="0" w:after="0" w:afterAutospacing="0"/>
        <w:textAlignment w:val="baseline"/>
      </w:pPr>
      <w:proofErr w:type="spellStart"/>
      <w:r>
        <w:rPr>
          <w:rFonts w:eastAsiaTheme="minorEastAsia"/>
          <w:color w:val="000000" w:themeColor="text1"/>
          <w:kern w:val="24"/>
        </w:rPr>
        <w:t>HopUnion</w:t>
      </w:r>
      <w:proofErr w:type="spellEnd"/>
      <w:r>
        <w:rPr>
          <w:rFonts w:eastAsiaTheme="minorEastAsia"/>
          <w:color w:val="000000" w:themeColor="text1"/>
          <w:kern w:val="24"/>
        </w:rPr>
        <w:t xml:space="preserve">. Hop Varieties. </w:t>
      </w:r>
      <w:bookmarkStart w:id="0" w:name="_GoBack"/>
      <w:bookmarkEnd w:id="0"/>
      <w:r w:rsidRPr="00AB7F60">
        <w:rPr>
          <w:rFonts w:eastAsiaTheme="minorEastAsia"/>
          <w:color w:val="000000" w:themeColor="text1"/>
          <w:kern w:val="24"/>
        </w:rPr>
        <w:t>https://www.hopunion.com/hop-varieties/</w:t>
      </w:r>
    </w:p>
    <w:p w:rsidR="00AB7F60" w:rsidRPr="00AB7F60" w:rsidRDefault="00AB7F60" w:rsidP="00AB7F60">
      <w:pPr>
        <w:pStyle w:val="NormalWeb"/>
        <w:spacing w:before="0" w:beforeAutospacing="0" w:after="0" w:afterAutospacing="0"/>
        <w:textAlignment w:val="baseline"/>
      </w:pPr>
      <w:r w:rsidRPr="00AB7F60">
        <w:rPr>
          <w:rFonts w:eastAsiaTheme="minorEastAsia"/>
          <w:color w:val="000000" w:themeColor="text1"/>
          <w:kern w:val="24"/>
        </w:rPr>
        <w:t>USDA-National Agricultural Statistics Service (NASS). National Hop Report. “2015 Hop Production Up 11 Percent from Last Year”. Released December 17, 2015. ISSN: 2158-7825.</w:t>
      </w:r>
    </w:p>
    <w:p w:rsidR="00AB7F60" w:rsidRPr="00AB7F60" w:rsidRDefault="00AB7F60" w:rsidP="00AB7F60">
      <w:pPr>
        <w:pStyle w:val="NormalWeb"/>
        <w:spacing w:before="0" w:beforeAutospacing="0" w:after="0" w:afterAutospacing="0"/>
        <w:textAlignment w:val="baseline"/>
        <w:rPr>
          <w:rFonts w:eastAsia="Gulim"/>
          <w:b/>
          <w:bCs/>
          <w:color w:val="000000" w:themeColor="text1"/>
          <w:kern w:val="24"/>
        </w:rPr>
      </w:pPr>
    </w:p>
    <w:p w:rsidR="00AB7F60" w:rsidRPr="00AB7F60" w:rsidRDefault="00AB7F60" w:rsidP="00AB7F60">
      <w:pPr>
        <w:pStyle w:val="NormalWeb"/>
        <w:spacing w:before="0" w:beforeAutospacing="0" w:after="0" w:afterAutospacing="0"/>
        <w:textAlignment w:val="baseline"/>
      </w:pPr>
      <w:r w:rsidRPr="00AB7F60">
        <w:rPr>
          <w:rFonts w:eastAsia="Gulim"/>
          <w:b/>
          <w:bCs/>
          <w:color w:val="000000" w:themeColor="text1"/>
          <w:kern w:val="24"/>
        </w:rPr>
        <w:t>Acknowledgements</w:t>
      </w:r>
      <w:r w:rsidRPr="00AB7F60">
        <w:rPr>
          <w:rFonts w:eastAsia="Gulim"/>
          <w:b/>
          <w:bCs/>
          <w:color w:val="000000" w:themeColor="text1"/>
          <w:kern w:val="24"/>
        </w:rPr>
        <w:t xml:space="preserve">: </w:t>
      </w:r>
      <w:r w:rsidRPr="00AB7F60">
        <w:rPr>
          <w:rFonts w:eastAsiaTheme="minorEastAsia"/>
          <w:color w:val="000000" w:themeColor="text1"/>
          <w:kern w:val="24"/>
        </w:rPr>
        <w:t xml:space="preserve">Funds for this research </w:t>
      </w:r>
      <w:proofErr w:type="gramStart"/>
      <w:r w:rsidRPr="00AB7F60">
        <w:rPr>
          <w:rFonts w:eastAsiaTheme="minorEastAsia"/>
          <w:color w:val="000000" w:themeColor="text1"/>
          <w:kern w:val="24"/>
        </w:rPr>
        <w:t>were provided</w:t>
      </w:r>
      <w:proofErr w:type="gramEnd"/>
      <w:r w:rsidRPr="00AB7F60">
        <w:rPr>
          <w:rFonts w:eastAsiaTheme="minorEastAsia"/>
          <w:color w:val="000000" w:themeColor="text1"/>
          <w:kern w:val="24"/>
        </w:rPr>
        <w:t xml:space="preserve"> by SARE partnership grant # </w:t>
      </w:r>
      <w:r w:rsidRPr="00AB7F60">
        <w:rPr>
          <w:rFonts w:eastAsiaTheme="minorEastAsia"/>
          <w:b/>
          <w:bCs/>
          <w:color w:val="000000" w:themeColor="text1"/>
          <w:kern w:val="24"/>
        </w:rPr>
        <w:t>UNIV OF VERMONT-ONE15-247-29001.</w:t>
      </w:r>
      <w:r w:rsidRPr="00AB7F60">
        <w:rPr>
          <w:rFonts w:eastAsiaTheme="minorEastAsia"/>
          <w:color w:val="000000" w:themeColor="text1"/>
          <w:kern w:val="24"/>
        </w:rPr>
        <w:t xml:space="preserve"> We are grateful to Shimadzu Scientific Instruments for use of GC/MS instrumentation, to Agilent for the HPLC-UV-MS, the Clifford E. &amp; </w:t>
      </w:r>
      <w:proofErr w:type="spellStart"/>
      <w:r w:rsidRPr="00AB7F60">
        <w:rPr>
          <w:rFonts w:eastAsiaTheme="minorEastAsia"/>
          <w:color w:val="000000" w:themeColor="text1"/>
          <w:kern w:val="24"/>
        </w:rPr>
        <w:t>Melda</w:t>
      </w:r>
      <w:proofErr w:type="spellEnd"/>
      <w:r w:rsidRPr="00AB7F60">
        <w:rPr>
          <w:rFonts w:eastAsiaTheme="minorEastAsia"/>
          <w:color w:val="000000" w:themeColor="text1"/>
          <w:kern w:val="24"/>
        </w:rPr>
        <w:t xml:space="preserve"> C. Snyder Research and Extension Farm staff, and to the </w:t>
      </w:r>
      <w:r w:rsidRPr="00AB7F60">
        <w:rPr>
          <w:rFonts w:eastAsiaTheme="minorEastAsia"/>
          <w:b/>
          <w:bCs/>
          <w:color w:val="000000" w:themeColor="text1"/>
          <w:kern w:val="24"/>
        </w:rPr>
        <w:t>NJ Agric. Experiment Station</w:t>
      </w:r>
      <w:r w:rsidRPr="00AB7F60">
        <w:rPr>
          <w:rFonts w:eastAsiaTheme="minorEastAsia"/>
          <w:color w:val="000000" w:themeColor="text1"/>
          <w:kern w:val="24"/>
        </w:rPr>
        <w:t xml:space="preserve"> for additional support and assistance.</w:t>
      </w:r>
    </w:p>
    <w:p w:rsidR="00AB7F60" w:rsidRPr="00AB7F60" w:rsidRDefault="00AB7F60" w:rsidP="00AB7F60">
      <w:pPr>
        <w:pStyle w:val="NormalWeb"/>
        <w:spacing w:before="0" w:beforeAutospacing="0" w:after="0" w:afterAutospacing="0"/>
        <w:textAlignment w:val="baseline"/>
      </w:pPr>
      <w:r w:rsidRPr="00AB7F60">
        <w:rPr>
          <w:rFonts w:eastAsiaTheme="minorEastAsia"/>
          <w:b/>
          <w:bCs/>
          <w:color w:val="000000" w:themeColor="text1"/>
          <w:kern w:val="24"/>
        </w:rPr>
        <w:t xml:space="preserve">Questions? </w:t>
      </w:r>
      <w:r w:rsidRPr="00AB7F60">
        <w:rPr>
          <w:rFonts w:eastAsiaTheme="minorEastAsia"/>
          <w:b/>
          <w:bCs/>
          <w:color w:val="000000" w:themeColor="text1"/>
          <w:kern w:val="24"/>
        </w:rPr>
        <w:t xml:space="preserve">Contact: </w:t>
      </w:r>
    </w:p>
    <w:p w:rsidR="00AB7F60" w:rsidRPr="00AB7F60" w:rsidRDefault="00AB7F60" w:rsidP="00AB7F60">
      <w:pPr>
        <w:pStyle w:val="NormalWeb"/>
        <w:spacing w:before="0" w:beforeAutospacing="0" w:after="0" w:afterAutospacing="0"/>
        <w:textAlignment w:val="baseline"/>
        <w:rPr>
          <w:rFonts w:eastAsiaTheme="minorEastAsia"/>
          <w:b/>
          <w:bCs/>
          <w:color w:val="000000" w:themeColor="text1"/>
          <w:kern w:val="24"/>
        </w:rPr>
      </w:pPr>
      <w:r w:rsidRPr="00AB7F60">
        <w:rPr>
          <w:rFonts w:eastAsiaTheme="minorEastAsia"/>
          <w:b/>
          <w:bCs/>
          <w:color w:val="000000" w:themeColor="text1"/>
          <w:kern w:val="24"/>
        </w:rPr>
        <w:t xml:space="preserve">Prof. James Simon: jimsimon@rutgers.edu </w:t>
      </w:r>
    </w:p>
    <w:p w:rsidR="00AB7F60" w:rsidRPr="00AB7F60" w:rsidRDefault="00AB7F60" w:rsidP="00AB7F60">
      <w:pPr>
        <w:pStyle w:val="NormalWeb"/>
        <w:spacing w:before="0" w:beforeAutospacing="0" w:after="0" w:afterAutospacing="0"/>
        <w:textAlignment w:val="baseline"/>
      </w:pPr>
      <w:r w:rsidRPr="00AB7F60">
        <w:rPr>
          <w:rFonts w:eastAsiaTheme="minorEastAsia"/>
          <w:b/>
          <w:bCs/>
          <w:color w:val="000000" w:themeColor="text1"/>
          <w:kern w:val="24"/>
        </w:rPr>
        <w:t xml:space="preserve">Megan </w:t>
      </w:r>
      <w:proofErr w:type="spellStart"/>
      <w:r w:rsidRPr="00AB7F60">
        <w:rPr>
          <w:rFonts w:eastAsiaTheme="minorEastAsia"/>
          <w:b/>
          <w:bCs/>
          <w:color w:val="000000" w:themeColor="text1"/>
          <w:kern w:val="24"/>
        </w:rPr>
        <w:t>Muehlbauer</w:t>
      </w:r>
      <w:proofErr w:type="spellEnd"/>
      <w:r w:rsidRPr="00AB7F60">
        <w:rPr>
          <w:rFonts w:eastAsiaTheme="minorEastAsia"/>
          <w:b/>
          <w:bCs/>
          <w:color w:val="000000" w:themeColor="text1"/>
          <w:kern w:val="24"/>
        </w:rPr>
        <w:t>: meganmu@rutgers.edu</w:t>
      </w:r>
    </w:p>
    <w:p w:rsidR="00AB7595" w:rsidRPr="00AB7F60" w:rsidRDefault="00AB7595">
      <w:pPr>
        <w:rPr>
          <w:rFonts w:ascii="Times New Roman" w:hAnsi="Times New Roman" w:cs="Times New Roman"/>
          <w:sz w:val="24"/>
          <w:szCs w:val="24"/>
        </w:rPr>
      </w:pPr>
    </w:p>
    <w:sectPr w:rsidR="00AB7595" w:rsidRPr="00AB7F60" w:rsidSect="00AB75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910" w:rsidRDefault="00283910" w:rsidP="00385394">
      <w:pPr>
        <w:spacing w:after="0" w:line="240" w:lineRule="auto"/>
      </w:pPr>
      <w:r>
        <w:separator/>
      </w:r>
    </w:p>
  </w:endnote>
  <w:endnote w:type="continuationSeparator" w:id="0">
    <w:p w:rsidR="00283910" w:rsidRDefault="00283910" w:rsidP="0038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910" w:rsidRDefault="00283910" w:rsidP="00385394">
      <w:pPr>
        <w:spacing w:after="0" w:line="240" w:lineRule="auto"/>
      </w:pPr>
      <w:r>
        <w:separator/>
      </w:r>
    </w:p>
  </w:footnote>
  <w:footnote w:type="continuationSeparator" w:id="0">
    <w:p w:rsidR="00283910" w:rsidRDefault="00283910" w:rsidP="00385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17"/>
    <w:rsid w:val="00047917"/>
    <w:rsid w:val="00283910"/>
    <w:rsid w:val="00385394"/>
    <w:rsid w:val="006A17EC"/>
    <w:rsid w:val="007F6607"/>
    <w:rsid w:val="00AB7595"/>
    <w:rsid w:val="00AB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0D37"/>
  <w15:chartTrackingRefBased/>
  <w15:docId w15:val="{A4BADC6F-E10A-42FC-8BC0-E522DFA8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9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5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394"/>
  </w:style>
  <w:style w:type="paragraph" w:styleId="Footer">
    <w:name w:val="footer"/>
    <w:basedOn w:val="Normal"/>
    <w:link w:val="FooterChar"/>
    <w:uiPriority w:val="99"/>
    <w:unhideWhenUsed/>
    <w:rsid w:val="0038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394"/>
  </w:style>
  <w:style w:type="character" w:styleId="Hyperlink">
    <w:name w:val="Hyperlink"/>
    <w:basedOn w:val="DefaultParagraphFont"/>
    <w:uiPriority w:val="99"/>
    <w:unhideWhenUsed/>
    <w:rsid w:val="00AB7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5625">
      <w:bodyDiv w:val="1"/>
      <w:marLeft w:val="0"/>
      <w:marRight w:val="0"/>
      <w:marTop w:val="0"/>
      <w:marBottom w:val="0"/>
      <w:divBdr>
        <w:top w:val="none" w:sz="0" w:space="0" w:color="auto"/>
        <w:left w:val="none" w:sz="0" w:space="0" w:color="auto"/>
        <w:bottom w:val="none" w:sz="0" w:space="0" w:color="auto"/>
        <w:right w:val="none" w:sz="0" w:space="0" w:color="auto"/>
      </w:divBdr>
    </w:div>
    <w:div w:id="444084827">
      <w:bodyDiv w:val="1"/>
      <w:marLeft w:val="0"/>
      <w:marRight w:val="0"/>
      <w:marTop w:val="0"/>
      <w:marBottom w:val="0"/>
      <w:divBdr>
        <w:top w:val="none" w:sz="0" w:space="0" w:color="auto"/>
        <w:left w:val="none" w:sz="0" w:space="0" w:color="auto"/>
        <w:bottom w:val="none" w:sz="0" w:space="0" w:color="auto"/>
        <w:right w:val="none" w:sz="0" w:space="0" w:color="auto"/>
      </w:divBdr>
    </w:div>
    <w:div w:id="589509185">
      <w:bodyDiv w:val="1"/>
      <w:marLeft w:val="0"/>
      <w:marRight w:val="0"/>
      <w:marTop w:val="0"/>
      <w:marBottom w:val="0"/>
      <w:divBdr>
        <w:top w:val="none" w:sz="0" w:space="0" w:color="auto"/>
        <w:left w:val="none" w:sz="0" w:space="0" w:color="auto"/>
        <w:bottom w:val="none" w:sz="0" w:space="0" w:color="auto"/>
        <w:right w:val="none" w:sz="0" w:space="0" w:color="auto"/>
      </w:divBdr>
    </w:div>
    <w:div w:id="656346289">
      <w:bodyDiv w:val="1"/>
      <w:marLeft w:val="0"/>
      <w:marRight w:val="0"/>
      <w:marTop w:val="0"/>
      <w:marBottom w:val="0"/>
      <w:divBdr>
        <w:top w:val="none" w:sz="0" w:space="0" w:color="auto"/>
        <w:left w:val="none" w:sz="0" w:space="0" w:color="auto"/>
        <w:bottom w:val="none" w:sz="0" w:space="0" w:color="auto"/>
        <w:right w:val="none" w:sz="0" w:space="0" w:color="auto"/>
      </w:divBdr>
    </w:div>
    <w:div w:id="677653654">
      <w:bodyDiv w:val="1"/>
      <w:marLeft w:val="0"/>
      <w:marRight w:val="0"/>
      <w:marTop w:val="0"/>
      <w:marBottom w:val="0"/>
      <w:divBdr>
        <w:top w:val="none" w:sz="0" w:space="0" w:color="auto"/>
        <w:left w:val="none" w:sz="0" w:space="0" w:color="auto"/>
        <w:bottom w:val="none" w:sz="0" w:space="0" w:color="auto"/>
        <w:right w:val="none" w:sz="0" w:space="0" w:color="auto"/>
      </w:divBdr>
    </w:div>
    <w:div w:id="745305311">
      <w:bodyDiv w:val="1"/>
      <w:marLeft w:val="0"/>
      <w:marRight w:val="0"/>
      <w:marTop w:val="0"/>
      <w:marBottom w:val="0"/>
      <w:divBdr>
        <w:top w:val="none" w:sz="0" w:space="0" w:color="auto"/>
        <w:left w:val="none" w:sz="0" w:space="0" w:color="auto"/>
        <w:bottom w:val="none" w:sz="0" w:space="0" w:color="auto"/>
        <w:right w:val="none" w:sz="0" w:space="0" w:color="auto"/>
      </w:divBdr>
    </w:div>
    <w:div w:id="877089693">
      <w:bodyDiv w:val="1"/>
      <w:marLeft w:val="0"/>
      <w:marRight w:val="0"/>
      <w:marTop w:val="0"/>
      <w:marBottom w:val="0"/>
      <w:divBdr>
        <w:top w:val="none" w:sz="0" w:space="0" w:color="auto"/>
        <w:left w:val="none" w:sz="0" w:space="0" w:color="auto"/>
        <w:bottom w:val="none" w:sz="0" w:space="0" w:color="auto"/>
        <w:right w:val="none" w:sz="0" w:space="0" w:color="auto"/>
      </w:divBdr>
    </w:div>
    <w:div w:id="1169490761">
      <w:bodyDiv w:val="1"/>
      <w:marLeft w:val="0"/>
      <w:marRight w:val="0"/>
      <w:marTop w:val="0"/>
      <w:marBottom w:val="0"/>
      <w:divBdr>
        <w:top w:val="none" w:sz="0" w:space="0" w:color="auto"/>
        <w:left w:val="none" w:sz="0" w:space="0" w:color="auto"/>
        <w:bottom w:val="none" w:sz="0" w:space="0" w:color="auto"/>
        <w:right w:val="none" w:sz="0" w:space="0" w:color="auto"/>
      </w:divBdr>
    </w:div>
    <w:div w:id="1251543564">
      <w:bodyDiv w:val="1"/>
      <w:marLeft w:val="0"/>
      <w:marRight w:val="0"/>
      <w:marTop w:val="0"/>
      <w:marBottom w:val="0"/>
      <w:divBdr>
        <w:top w:val="none" w:sz="0" w:space="0" w:color="auto"/>
        <w:left w:val="none" w:sz="0" w:space="0" w:color="auto"/>
        <w:bottom w:val="none" w:sz="0" w:space="0" w:color="auto"/>
        <w:right w:val="none" w:sz="0" w:space="0" w:color="auto"/>
      </w:divBdr>
    </w:div>
    <w:div w:id="1253856044">
      <w:bodyDiv w:val="1"/>
      <w:marLeft w:val="0"/>
      <w:marRight w:val="0"/>
      <w:marTop w:val="0"/>
      <w:marBottom w:val="0"/>
      <w:divBdr>
        <w:top w:val="none" w:sz="0" w:space="0" w:color="auto"/>
        <w:left w:val="none" w:sz="0" w:space="0" w:color="auto"/>
        <w:bottom w:val="none" w:sz="0" w:space="0" w:color="auto"/>
        <w:right w:val="none" w:sz="0" w:space="0" w:color="auto"/>
      </w:divBdr>
    </w:div>
    <w:div w:id="1482652828">
      <w:bodyDiv w:val="1"/>
      <w:marLeft w:val="0"/>
      <w:marRight w:val="0"/>
      <w:marTop w:val="0"/>
      <w:marBottom w:val="0"/>
      <w:divBdr>
        <w:top w:val="none" w:sz="0" w:space="0" w:color="auto"/>
        <w:left w:val="none" w:sz="0" w:space="0" w:color="auto"/>
        <w:bottom w:val="none" w:sz="0" w:space="0" w:color="auto"/>
        <w:right w:val="none" w:sz="0" w:space="0" w:color="auto"/>
      </w:divBdr>
    </w:div>
    <w:div w:id="1844276166">
      <w:bodyDiv w:val="1"/>
      <w:marLeft w:val="0"/>
      <w:marRight w:val="0"/>
      <w:marTop w:val="0"/>
      <w:marBottom w:val="0"/>
      <w:divBdr>
        <w:top w:val="none" w:sz="0" w:space="0" w:color="auto"/>
        <w:left w:val="none" w:sz="0" w:space="0" w:color="auto"/>
        <w:bottom w:val="none" w:sz="0" w:space="0" w:color="auto"/>
        <w:right w:val="none" w:sz="0" w:space="0" w:color="auto"/>
      </w:divBdr>
    </w:div>
    <w:div w:id="20848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gan\Desktop\Hops\HopACIDData20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95610835404686"/>
          <c:y val="4.2895442359249331E-2"/>
          <c:w val="0.76271077947647692"/>
          <c:h val="0.82826581411303613"/>
        </c:manualLayout>
      </c:layout>
      <c:barChart>
        <c:barDir val="bar"/>
        <c:grouping val="stacked"/>
        <c:varyColors val="0"/>
        <c:ser>
          <c:idx val="0"/>
          <c:order val="0"/>
          <c:tx>
            <c:strRef>
              <c:f>Sheet2!$Q$1</c:f>
              <c:strCache>
                <c:ptCount val="1"/>
                <c:pt idx="0">
                  <c:v>Alpha Acid (low percent)</c:v>
                </c:pt>
              </c:strCache>
            </c:strRef>
          </c:tx>
          <c:spPr>
            <a:noFill/>
            <a:ln>
              <a:noFill/>
            </a:ln>
            <a:effectLst/>
          </c:spPr>
          <c:invertIfNegative val="0"/>
          <c:cat>
            <c:strRef>
              <c:f>Sheet2!$P$2:$P$33</c:f>
              <c:strCache>
                <c:ptCount val="32"/>
                <c:pt idx="0">
                  <c:v>Sterling (NJ_1)</c:v>
                </c:pt>
                <c:pt idx="1">
                  <c:v>Sterling (Hop Union)</c:v>
                </c:pt>
                <c:pt idx="2">
                  <c:v>Perle (NJ_1)</c:v>
                </c:pt>
                <c:pt idx="3">
                  <c:v>Perle (Hop Union)</c:v>
                </c:pt>
                <c:pt idx="4">
                  <c:v>Magnum (NJ_2)</c:v>
                </c:pt>
                <c:pt idx="5">
                  <c:v>Magnum (Hop Union)</c:v>
                </c:pt>
                <c:pt idx="6">
                  <c:v>Wilamette (Snyder Plot)</c:v>
                </c:pt>
                <c:pt idx="7">
                  <c:v>Wilamette (Hop Union)</c:v>
                </c:pt>
                <c:pt idx="8">
                  <c:v>Ultra (NJ_1)</c:v>
                </c:pt>
                <c:pt idx="9">
                  <c:v>Ultra (Hop Union)</c:v>
                </c:pt>
                <c:pt idx="10">
                  <c:v>Sorachi Ace (Snyder Plot)</c:v>
                </c:pt>
                <c:pt idx="11">
                  <c:v>Sorachi Ace (Hop Union)</c:v>
                </c:pt>
                <c:pt idx="12">
                  <c:v>Nugget (NJ_3)</c:v>
                </c:pt>
                <c:pt idx="13">
                  <c:v>Nugget (NJ_3)</c:v>
                </c:pt>
                <c:pt idx="14">
                  <c:v>Nugget (NJ_1)</c:v>
                </c:pt>
                <c:pt idx="15">
                  <c:v>Nugget (NJ_2)</c:v>
                </c:pt>
                <c:pt idx="16">
                  <c:v>Nugget (Snyder Plot)</c:v>
                </c:pt>
                <c:pt idx="17">
                  <c:v>Nugget (Hop Union)</c:v>
                </c:pt>
                <c:pt idx="18">
                  <c:v>Newport (Snyder Plot)</c:v>
                </c:pt>
                <c:pt idx="19">
                  <c:v>Newport (Hop Union)</c:v>
                </c:pt>
                <c:pt idx="20">
                  <c:v>Chinook (NJ_3)</c:v>
                </c:pt>
                <c:pt idx="21">
                  <c:v>Chinook (NJ_2)</c:v>
                </c:pt>
                <c:pt idx="22">
                  <c:v>Chinook (NJ_2)</c:v>
                </c:pt>
                <c:pt idx="23">
                  <c:v>Chinook (Snyder Plot)</c:v>
                </c:pt>
                <c:pt idx="24">
                  <c:v>Chinook (Hop Union)</c:v>
                </c:pt>
                <c:pt idx="25">
                  <c:v>Centennial (NJ_1)</c:v>
                </c:pt>
                <c:pt idx="26">
                  <c:v>Centennial (Snyder Plot Avg.)</c:v>
                </c:pt>
                <c:pt idx="27">
                  <c:v>Centennial (Hop Union)</c:v>
                </c:pt>
                <c:pt idx="28">
                  <c:v>Cascade (NJ_3)</c:v>
                </c:pt>
                <c:pt idx="29">
                  <c:v>Cascade (NJ_3)</c:v>
                </c:pt>
                <c:pt idx="30">
                  <c:v>Cascade (Snyder Plot Avg.)</c:v>
                </c:pt>
                <c:pt idx="31">
                  <c:v>Cascade (Hop Union)</c:v>
                </c:pt>
              </c:strCache>
            </c:strRef>
          </c:cat>
          <c:val>
            <c:numRef>
              <c:f>Sheet2!$Q$2:$Q$33</c:f>
              <c:numCache>
                <c:formatCode>General</c:formatCode>
                <c:ptCount val="32"/>
                <c:pt idx="0">
                  <c:v>11.2</c:v>
                </c:pt>
                <c:pt idx="1">
                  <c:v>5.5</c:v>
                </c:pt>
                <c:pt idx="2">
                  <c:v>1.93</c:v>
                </c:pt>
                <c:pt idx="3">
                  <c:v>4</c:v>
                </c:pt>
                <c:pt idx="4">
                  <c:v>10.82</c:v>
                </c:pt>
                <c:pt idx="5">
                  <c:v>12</c:v>
                </c:pt>
                <c:pt idx="6">
                  <c:v>0.55199999999999994</c:v>
                </c:pt>
                <c:pt idx="7">
                  <c:v>4.5</c:v>
                </c:pt>
                <c:pt idx="8">
                  <c:v>4.83</c:v>
                </c:pt>
                <c:pt idx="9">
                  <c:v>9.1999999999999993</c:v>
                </c:pt>
                <c:pt idx="10">
                  <c:v>7.69</c:v>
                </c:pt>
                <c:pt idx="11">
                  <c:v>11.5</c:v>
                </c:pt>
                <c:pt idx="12">
                  <c:v>10.28</c:v>
                </c:pt>
                <c:pt idx="13">
                  <c:v>11.45</c:v>
                </c:pt>
                <c:pt idx="14">
                  <c:v>1.77</c:v>
                </c:pt>
                <c:pt idx="15">
                  <c:v>10.64</c:v>
                </c:pt>
                <c:pt idx="16">
                  <c:v>3.3800000000000003</c:v>
                </c:pt>
                <c:pt idx="17">
                  <c:v>11.5</c:v>
                </c:pt>
                <c:pt idx="18">
                  <c:v>5.73</c:v>
                </c:pt>
                <c:pt idx="19">
                  <c:v>10</c:v>
                </c:pt>
                <c:pt idx="20">
                  <c:v>7.77</c:v>
                </c:pt>
                <c:pt idx="21">
                  <c:v>8.06</c:v>
                </c:pt>
                <c:pt idx="22">
                  <c:v>9.0299999999999994</c:v>
                </c:pt>
                <c:pt idx="23">
                  <c:v>8.61</c:v>
                </c:pt>
                <c:pt idx="24">
                  <c:v>11.5</c:v>
                </c:pt>
                <c:pt idx="25">
                  <c:v>8.9700000000000006</c:v>
                </c:pt>
                <c:pt idx="26">
                  <c:v>6.0960000000000001</c:v>
                </c:pt>
                <c:pt idx="27">
                  <c:v>7</c:v>
                </c:pt>
                <c:pt idx="28">
                  <c:v>3.57</c:v>
                </c:pt>
                <c:pt idx="29">
                  <c:v>3.81</c:v>
                </c:pt>
                <c:pt idx="30">
                  <c:v>2.4850000000000003</c:v>
                </c:pt>
                <c:pt idx="31">
                  <c:v>5.5</c:v>
                </c:pt>
              </c:numCache>
            </c:numRef>
          </c:val>
          <c:extLst>
            <c:ext xmlns:c16="http://schemas.microsoft.com/office/drawing/2014/chart" uri="{C3380CC4-5D6E-409C-BE32-E72D297353CC}">
              <c16:uniqueId val="{00000000-C725-4BAF-B79C-D24F961BBE7B}"/>
            </c:ext>
          </c:extLst>
        </c:ser>
        <c:ser>
          <c:idx val="1"/>
          <c:order val="1"/>
          <c:tx>
            <c:strRef>
              <c:f>Sheet2!$S$1</c:f>
              <c:strCache>
                <c:ptCount val="1"/>
                <c:pt idx="0">
                  <c:v>Difference in Alphas</c:v>
                </c:pt>
              </c:strCache>
            </c:strRef>
          </c:tx>
          <c:spPr>
            <a:solidFill>
              <a:schemeClr val="accent2"/>
            </a:solidFill>
            <a:ln>
              <a:noFill/>
            </a:ln>
            <a:effectLst/>
          </c:spPr>
          <c:invertIfNegative val="0"/>
          <c:dPt>
            <c:idx val="0"/>
            <c:invertIfNegative val="0"/>
            <c:bubble3D val="0"/>
            <c:spPr>
              <a:solidFill>
                <a:schemeClr val="accent6">
                  <a:lumMod val="50000"/>
                </a:schemeClr>
              </a:solidFill>
              <a:ln>
                <a:solidFill>
                  <a:schemeClr val="accent6">
                    <a:lumMod val="50000"/>
                  </a:schemeClr>
                </a:solidFill>
              </a:ln>
              <a:effectLst/>
            </c:spPr>
            <c:extLst>
              <c:ext xmlns:c16="http://schemas.microsoft.com/office/drawing/2014/chart" uri="{C3380CC4-5D6E-409C-BE32-E72D297353CC}">
                <c16:uniqueId val="{00000002-C725-4BAF-B79C-D24F961BBE7B}"/>
              </c:ext>
            </c:extLst>
          </c:dPt>
          <c:dPt>
            <c:idx val="1"/>
            <c:invertIfNegative val="0"/>
            <c:bubble3D val="0"/>
            <c:spPr>
              <a:solidFill>
                <a:schemeClr val="accent6">
                  <a:lumMod val="75000"/>
                </a:schemeClr>
              </a:solidFill>
              <a:ln>
                <a:solidFill>
                  <a:sysClr val="windowText" lastClr="000000"/>
                </a:solidFill>
              </a:ln>
              <a:effectLst/>
            </c:spPr>
            <c:extLst>
              <c:ext xmlns:c16="http://schemas.microsoft.com/office/drawing/2014/chart" uri="{C3380CC4-5D6E-409C-BE32-E72D297353CC}">
                <c16:uniqueId val="{00000004-C725-4BAF-B79C-D24F961BBE7B}"/>
              </c:ext>
            </c:extLst>
          </c:dPt>
          <c:dPt>
            <c:idx val="2"/>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6-C725-4BAF-B79C-D24F961BBE7B}"/>
              </c:ext>
            </c:extLst>
          </c:dPt>
          <c:dPt>
            <c:idx val="3"/>
            <c:invertIfNegative val="0"/>
            <c:bubble3D val="0"/>
            <c:spPr>
              <a:solidFill>
                <a:schemeClr val="accent1">
                  <a:lumMod val="75000"/>
                </a:schemeClr>
              </a:solidFill>
              <a:ln>
                <a:solidFill>
                  <a:sysClr val="windowText" lastClr="000000"/>
                </a:solidFill>
              </a:ln>
              <a:effectLst/>
            </c:spPr>
            <c:extLst>
              <c:ext xmlns:c16="http://schemas.microsoft.com/office/drawing/2014/chart" uri="{C3380CC4-5D6E-409C-BE32-E72D297353CC}">
                <c16:uniqueId val="{00000008-C725-4BAF-B79C-D24F961BBE7B}"/>
              </c:ext>
            </c:extLst>
          </c:dPt>
          <c:dPt>
            <c:idx val="4"/>
            <c:invertIfNegative val="0"/>
            <c:bubble3D val="0"/>
            <c:spPr>
              <a:solidFill>
                <a:srgbClr val="CC0099"/>
              </a:solidFill>
              <a:ln>
                <a:noFill/>
              </a:ln>
              <a:effectLst/>
            </c:spPr>
            <c:extLst>
              <c:ext xmlns:c16="http://schemas.microsoft.com/office/drawing/2014/chart" uri="{C3380CC4-5D6E-409C-BE32-E72D297353CC}">
                <c16:uniqueId val="{0000000A-C725-4BAF-B79C-D24F961BBE7B}"/>
              </c:ext>
            </c:extLst>
          </c:dPt>
          <c:dPt>
            <c:idx val="5"/>
            <c:invertIfNegative val="0"/>
            <c:bubble3D val="0"/>
            <c:spPr>
              <a:solidFill>
                <a:srgbClr val="CC0099"/>
              </a:solidFill>
              <a:ln>
                <a:solidFill>
                  <a:sysClr val="windowText" lastClr="000000"/>
                </a:solidFill>
              </a:ln>
              <a:effectLst/>
            </c:spPr>
            <c:extLst>
              <c:ext xmlns:c16="http://schemas.microsoft.com/office/drawing/2014/chart" uri="{C3380CC4-5D6E-409C-BE32-E72D297353CC}">
                <c16:uniqueId val="{0000000C-C725-4BAF-B79C-D24F961BBE7B}"/>
              </c:ext>
            </c:extLst>
          </c:dPt>
          <c:dPt>
            <c:idx val="6"/>
            <c:invertIfNegative val="0"/>
            <c:bubble3D val="0"/>
            <c:spPr>
              <a:solidFill>
                <a:srgbClr val="FF3300"/>
              </a:solidFill>
              <a:ln>
                <a:solidFill>
                  <a:srgbClr val="FF3300"/>
                </a:solidFill>
              </a:ln>
              <a:effectLst/>
            </c:spPr>
            <c:extLst>
              <c:ext xmlns:c16="http://schemas.microsoft.com/office/drawing/2014/chart" uri="{C3380CC4-5D6E-409C-BE32-E72D297353CC}">
                <c16:uniqueId val="{0000000E-C725-4BAF-B79C-D24F961BBE7B}"/>
              </c:ext>
            </c:extLst>
          </c:dPt>
          <c:dPt>
            <c:idx val="7"/>
            <c:invertIfNegative val="0"/>
            <c:bubble3D val="0"/>
            <c:spPr>
              <a:solidFill>
                <a:srgbClr val="FF3300"/>
              </a:solidFill>
              <a:ln>
                <a:solidFill>
                  <a:schemeClr val="tx1"/>
                </a:solidFill>
              </a:ln>
              <a:effectLst/>
            </c:spPr>
            <c:extLst>
              <c:ext xmlns:c16="http://schemas.microsoft.com/office/drawing/2014/chart" uri="{C3380CC4-5D6E-409C-BE32-E72D297353CC}">
                <c16:uniqueId val="{00000010-C725-4BAF-B79C-D24F961BBE7B}"/>
              </c:ext>
            </c:extLst>
          </c:dPt>
          <c:dPt>
            <c:idx val="8"/>
            <c:invertIfNegative val="0"/>
            <c:bubble3D val="0"/>
            <c:spPr>
              <a:solidFill>
                <a:srgbClr val="FFC000"/>
              </a:solidFill>
              <a:ln>
                <a:solidFill>
                  <a:srgbClr val="FFC000"/>
                </a:solidFill>
              </a:ln>
              <a:effectLst/>
            </c:spPr>
            <c:extLst>
              <c:ext xmlns:c16="http://schemas.microsoft.com/office/drawing/2014/chart" uri="{C3380CC4-5D6E-409C-BE32-E72D297353CC}">
                <c16:uniqueId val="{00000012-C725-4BAF-B79C-D24F961BBE7B}"/>
              </c:ext>
            </c:extLst>
          </c:dPt>
          <c:dPt>
            <c:idx val="9"/>
            <c:invertIfNegative val="0"/>
            <c:bubble3D val="0"/>
            <c:spPr>
              <a:solidFill>
                <a:schemeClr val="accent4"/>
              </a:solidFill>
              <a:ln>
                <a:solidFill>
                  <a:sysClr val="windowText" lastClr="000000"/>
                </a:solidFill>
              </a:ln>
              <a:effectLst/>
            </c:spPr>
            <c:extLst>
              <c:ext xmlns:c16="http://schemas.microsoft.com/office/drawing/2014/chart" uri="{C3380CC4-5D6E-409C-BE32-E72D297353CC}">
                <c16:uniqueId val="{00000014-C725-4BAF-B79C-D24F961BBE7B}"/>
              </c:ext>
            </c:extLst>
          </c:dPt>
          <c:dPt>
            <c:idx val="10"/>
            <c:invertIfNegative val="0"/>
            <c:bubble3D val="0"/>
            <c:spPr>
              <a:solidFill>
                <a:srgbClr val="FFFF00"/>
              </a:solidFill>
              <a:ln>
                <a:solidFill>
                  <a:srgbClr val="FFFF00"/>
                </a:solidFill>
              </a:ln>
              <a:effectLst/>
            </c:spPr>
            <c:extLst>
              <c:ext xmlns:c16="http://schemas.microsoft.com/office/drawing/2014/chart" uri="{C3380CC4-5D6E-409C-BE32-E72D297353CC}">
                <c16:uniqueId val="{00000016-C725-4BAF-B79C-D24F961BBE7B}"/>
              </c:ext>
            </c:extLst>
          </c:dPt>
          <c:dPt>
            <c:idx val="11"/>
            <c:invertIfNegative val="0"/>
            <c:bubble3D val="0"/>
            <c:spPr>
              <a:solidFill>
                <a:srgbClr val="FFFF00"/>
              </a:solidFill>
              <a:ln>
                <a:solidFill>
                  <a:sysClr val="windowText" lastClr="000000"/>
                </a:solidFill>
              </a:ln>
              <a:effectLst/>
            </c:spPr>
            <c:extLst>
              <c:ext xmlns:c16="http://schemas.microsoft.com/office/drawing/2014/chart" uri="{C3380CC4-5D6E-409C-BE32-E72D297353CC}">
                <c16:uniqueId val="{00000018-C725-4BAF-B79C-D24F961BBE7B}"/>
              </c:ext>
            </c:extLst>
          </c:dPt>
          <c:dPt>
            <c:idx val="12"/>
            <c:invertIfNegative val="0"/>
            <c:bubble3D val="0"/>
            <c:spPr>
              <a:solidFill>
                <a:srgbClr val="00B050"/>
              </a:solidFill>
              <a:ln>
                <a:noFill/>
              </a:ln>
              <a:effectLst/>
            </c:spPr>
            <c:extLst>
              <c:ext xmlns:c16="http://schemas.microsoft.com/office/drawing/2014/chart" uri="{C3380CC4-5D6E-409C-BE32-E72D297353CC}">
                <c16:uniqueId val="{0000001A-C725-4BAF-B79C-D24F961BBE7B}"/>
              </c:ext>
            </c:extLst>
          </c:dPt>
          <c:dPt>
            <c:idx val="13"/>
            <c:invertIfNegative val="0"/>
            <c:bubble3D val="0"/>
            <c:spPr>
              <a:solidFill>
                <a:srgbClr val="00B050"/>
              </a:solidFill>
              <a:ln>
                <a:noFill/>
              </a:ln>
              <a:effectLst/>
            </c:spPr>
            <c:extLst>
              <c:ext xmlns:c16="http://schemas.microsoft.com/office/drawing/2014/chart" uri="{C3380CC4-5D6E-409C-BE32-E72D297353CC}">
                <c16:uniqueId val="{0000001C-C725-4BAF-B79C-D24F961BBE7B}"/>
              </c:ext>
            </c:extLst>
          </c:dPt>
          <c:dPt>
            <c:idx val="14"/>
            <c:invertIfNegative val="0"/>
            <c:bubble3D val="0"/>
            <c:spPr>
              <a:solidFill>
                <a:srgbClr val="00B050"/>
              </a:solidFill>
              <a:ln>
                <a:noFill/>
              </a:ln>
              <a:effectLst/>
            </c:spPr>
            <c:extLst>
              <c:ext xmlns:c16="http://schemas.microsoft.com/office/drawing/2014/chart" uri="{C3380CC4-5D6E-409C-BE32-E72D297353CC}">
                <c16:uniqueId val="{0000001E-C725-4BAF-B79C-D24F961BBE7B}"/>
              </c:ext>
            </c:extLst>
          </c:dPt>
          <c:dPt>
            <c:idx val="15"/>
            <c:invertIfNegative val="0"/>
            <c:bubble3D val="0"/>
            <c:spPr>
              <a:solidFill>
                <a:srgbClr val="00B050"/>
              </a:solidFill>
              <a:ln>
                <a:noFill/>
              </a:ln>
              <a:effectLst/>
            </c:spPr>
            <c:extLst>
              <c:ext xmlns:c16="http://schemas.microsoft.com/office/drawing/2014/chart" uri="{C3380CC4-5D6E-409C-BE32-E72D297353CC}">
                <c16:uniqueId val="{00000020-C725-4BAF-B79C-D24F961BBE7B}"/>
              </c:ext>
            </c:extLst>
          </c:dPt>
          <c:dPt>
            <c:idx val="16"/>
            <c:invertIfNegative val="0"/>
            <c:bubble3D val="0"/>
            <c:spPr>
              <a:solidFill>
                <a:srgbClr val="00B050"/>
              </a:solidFill>
              <a:ln>
                <a:noFill/>
              </a:ln>
              <a:effectLst/>
            </c:spPr>
            <c:extLst>
              <c:ext xmlns:c16="http://schemas.microsoft.com/office/drawing/2014/chart" uri="{C3380CC4-5D6E-409C-BE32-E72D297353CC}">
                <c16:uniqueId val="{00000022-C725-4BAF-B79C-D24F961BBE7B}"/>
              </c:ext>
            </c:extLst>
          </c:dPt>
          <c:dPt>
            <c:idx val="17"/>
            <c:invertIfNegative val="0"/>
            <c:bubble3D val="0"/>
            <c:spPr>
              <a:solidFill>
                <a:srgbClr val="00B050"/>
              </a:solidFill>
              <a:ln>
                <a:solidFill>
                  <a:sysClr val="windowText" lastClr="000000"/>
                </a:solidFill>
              </a:ln>
              <a:effectLst/>
            </c:spPr>
            <c:extLst>
              <c:ext xmlns:c16="http://schemas.microsoft.com/office/drawing/2014/chart" uri="{C3380CC4-5D6E-409C-BE32-E72D297353CC}">
                <c16:uniqueId val="{00000024-C725-4BAF-B79C-D24F961BBE7B}"/>
              </c:ext>
            </c:extLst>
          </c:dPt>
          <c:dPt>
            <c:idx val="18"/>
            <c:invertIfNegative val="0"/>
            <c:bubble3D val="0"/>
            <c:spPr>
              <a:solidFill>
                <a:srgbClr val="0070C0"/>
              </a:solidFill>
              <a:ln>
                <a:noFill/>
              </a:ln>
              <a:effectLst/>
            </c:spPr>
            <c:extLst>
              <c:ext xmlns:c16="http://schemas.microsoft.com/office/drawing/2014/chart" uri="{C3380CC4-5D6E-409C-BE32-E72D297353CC}">
                <c16:uniqueId val="{00000026-C725-4BAF-B79C-D24F961BBE7B}"/>
              </c:ext>
            </c:extLst>
          </c:dPt>
          <c:dPt>
            <c:idx val="19"/>
            <c:invertIfNegative val="0"/>
            <c:bubble3D val="0"/>
            <c:spPr>
              <a:solidFill>
                <a:srgbClr val="0070C0"/>
              </a:solidFill>
              <a:ln>
                <a:solidFill>
                  <a:sysClr val="windowText" lastClr="000000"/>
                </a:solidFill>
              </a:ln>
              <a:effectLst/>
            </c:spPr>
            <c:extLst>
              <c:ext xmlns:c16="http://schemas.microsoft.com/office/drawing/2014/chart" uri="{C3380CC4-5D6E-409C-BE32-E72D297353CC}">
                <c16:uniqueId val="{00000028-C725-4BAF-B79C-D24F961BBE7B}"/>
              </c:ext>
            </c:extLst>
          </c:dPt>
          <c:dPt>
            <c:idx val="20"/>
            <c:invertIfNegative val="0"/>
            <c:bubble3D val="0"/>
            <c:spPr>
              <a:solidFill>
                <a:srgbClr val="7030A0"/>
              </a:solidFill>
              <a:ln>
                <a:noFill/>
              </a:ln>
              <a:effectLst/>
            </c:spPr>
            <c:extLst>
              <c:ext xmlns:c16="http://schemas.microsoft.com/office/drawing/2014/chart" uri="{C3380CC4-5D6E-409C-BE32-E72D297353CC}">
                <c16:uniqueId val="{0000002A-C725-4BAF-B79C-D24F961BBE7B}"/>
              </c:ext>
            </c:extLst>
          </c:dPt>
          <c:dPt>
            <c:idx val="21"/>
            <c:invertIfNegative val="0"/>
            <c:bubble3D val="0"/>
            <c:spPr>
              <a:solidFill>
                <a:srgbClr val="7030A0"/>
              </a:solidFill>
              <a:ln>
                <a:noFill/>
              </a:ln>
              <a:effectLst/>
            </c:spPr>
            <c:extLst>
              <c:ext xmlns:c16="http://schemas.microsoft.com/office/drawing/2014/chart" uri="{C3380CC4-5D6E-409C-BE32-E72D297353CC}">
                <c16:uniqueId val="{0000002C-C725-4BAF-B79C-D24F961BBE7B}"/>
              </c:ext>
            </c:extLst>
          </c:dPt>
          <c:dPt>
            <c:idx val="22"/>
            <c:invertIfNegative val="0"/>
            <c:bubble3D val="0"/>
            <c:spPr>
              <a:solidFill>
                <a:srgbClr val="7030A0"/>
              </a:solidFill>
              <a:ln>
                <a:noFill/>
              </a:ln>
              <a:effectLst/>
            </c:spPr>
            <c:extLst>
              <c:ext xmlns:c16="http://schemas.microsoft.com/office/drawing/2014/chart" uri="{C3380CC4-5D6E-409C-BE32-E72D297353CC}">
                <c16:uniqueId val="{0000002E-C725-4BAF-B79C-D24F961BBE7B}"/>
              </c:ext>
            </c:extLst>
          </c:dPt>
          <c:dPt>
            <c:idx val="24"/>
            <c:invertIfNegative val="0"/>
            <c:bubble3D val="0"/>
            <c:spPr>
              <a:solidFill>
                <a:srgbClr val="7030A0"/>
              </a:solidFill>
              <a:ln>
                <a:solidFill>
                  <a:sysClr val="windowText" lastClr="000000"/>
                </a:solidFill>
              </a:ln>
              <a:effectLst/>
            </c:spPr>
            <c:extLst>
              <c:ext xmlns:c16="http://schemas.microsoft.com/office/drawing/2014/chart" uri="{C3380CC4-5D6E-409C-BE32-E72D297353CC}">
                <c16:uniqueId val="{00000030-C725-4BAF-B79C-D24F961BBE7B}"/>
              </c:ext>
            </c:extLst>
          </c:dPt>
          <c:dPt>
            <c:idx val="25"/>
            <c:invertIfNegative val="0"/>
            <c:bubble3D val="0"/>
            <c:spPr>
              <a:solidFill>
                <a:srgbClr val="FF0000"/>
              </a:solidFill>
              <a:ln>
                <a:noFill/>
              </a:ln>
              <a:effectLst/>
            </c:spPr>
            <c:extLst>
              <c:ext xmlns:c16="http://schemas.microsoft.com/office/drawing/2014/chart" uri="{C3380CC4-5D6E-409C-BE32-E72D297353CC}">
                <c16:uniqueId val="{00000032-C725-4BAF-B79C-D24F961BBE7B}"/>
              </c:ext>
            </c:extLst>
          </c:dPt>
          <c:dPt>
            <c:idx val="26"/>
            <c:invertIfNegative val="0"/>
            <c:bubble3D val="0"/>
            <c:spPr>
              <a:solidFill>
                <a:srgbClr val="FF0000"/>
              </a:solidFill>
              <a:ln>
                <a:solidFill>
                  <a:srgbClr val="FF0000"/>
                </a:solidFill>
              </a:ln>
              <a:effectLst/>
            </c:spPr>
            <c:extLst>
              <c:ext xmlns:c16="http://schemas.microsoft.com/office/drawing/2014/chart" uri="{C3380CC4-5D6E-409C-BE32-E72D297353CC}">
                <c16:uniqueId val="{00000034-C725-4BAF-B79C-D24F961BBE7B}"/>
              </c:ext>
            </c:extLst>
          </c:dPt>
          <c:dPt>
            <c:idx val="27"/>
            <c:invertIfNegative val="0"/>
            <c:bubble3D val="0"/>
            <c:spPr>
              <a:solidFill>
                <a:srgbClr val="FF0000"/>
              </a:solidFill>
              <a:ln>
                <a:solidFill>
                  <a:sysClr val="windowText" lastClr="000000"/>
                </a:solidFill>
              </a:ln>
              <a:effectLst/>
            </c:spPr>
            <c:extLst>
              <c:ext xmlns:c16="http://schemas.microsoft.com/office/drawing/2014/chart" uri="{C3380CC4-5D6E-409C-BE32-E72D297353CC}">
                <c16:uniqueId val="{00000036-C725-4BAF-B79C-D24F961BBE7B}"/>
              </c:ext>
            </c:extLst>
          </c:dPt>
          <c:dPt>
            <c:idx val="31"/>
            <c:invertIfNegative val="0"/>
            <c:bubble3D val="0"/>
            <c:spPr>
              <a:solidFill>
                <a:schemeClr val="accent2"/>
              </a:solidFill>
              <a:ln>
                <a:solidFill>
                  <a:schemeClr val="tx1">
                    <a:lumMod val="95000"/>
                    <a:lumOff val="5000"/>
                  </a:schemeClr>
                </a:solidFill>
              </a:ln>
              <a:effectLst/>
            </c:spPr>
            <c:extLst>
              <c:ext xmlns:c16="http://schemas.microsoft.com/office/drawing/2014/chart" uri="{C3380CC4-5D6E-409C-BE32-E72D297353CC}">
                <c16:uniqueId val="{00000038-C725-4BAF-B79C-D24F961BBE7B}"/>
              </c:ext>
            </c:extLst>
          </c:dPt>
          <c:val>
            <c:numRef>
              <c:f>Sheet2!$S$2:$S$33</c:f>
              <c:numCache>
                <c:formatCode>General</c:formatCode>
                <c:ptCount val="32"/>
                <c:pt idx="0">
                  <c:v>1.0100000000000016</c:v>
                </c:pt>
                <c:pt idx="1">
                  <c:v>3</c:v>
                </c:pt>
                <c:pt idx="2">
                  <c:v>0.42000000000000015</c:v>
                </c:pt>
                <c:pt idx="3">
                  <c:v>5</c:v>
                </c:pt>
                <c:pt idx="4">
                  <c:v>1.33</c:v>
                </c:pt>
                <c:pt idx="5">
                  <c:v>3.5</c:v>
                </c:pt>
                <c:pt idx="6">
                  <c:v>1.8719999999999999</c:v>
                </c:pt>
                <c:pt idx="7">
                  <c:v>2</c:v>
                </c:pt>
                <c:pt idx="8">
                  <c:v>0.1899999999999995</c:v>
                </c:pt>
                <c:pt idx="9">
                  <c:v>0.5</c:v>
                </c:pt>
                <c:pt idx="10">
                  <c:v>0.87999999999999989</c:v>
                </c:pt>
                <c:pt idx="11">
                  <c:v>3</c:v>
                </c:pt>
                <c:pt idx="12">
                  <c:v>0.14000000000000057</c:v>
                </c:pt>
                <c:pt idx="13">
                  <c:v>0.18000000000000149</c:v>
                </c:pt>
                <c:pt idx="14">
                  <c:v>3.4099999999999997</c:v>
                </c:pt>
                <c:pt idx="15">
                  <c:v>0.25999999999999979</c:v>
                </c:pt>
                <c:pt idx="16">
                  <c:v>4.7233333333333327</c:v>
                </c:pt>
                <c:pt idx="17">
                  <c:v>2.5</c:v>
                </c:pt>
                <c:pt idx="18">
                  <c:v>0.40999999999999925</c:v>
                </c:pt>
                <c:pt idx="19">
                  <c:v>2.5</c:v>
                </c:pt>
                <c:pt idx="20">
                  <c:v>0.48000000000000043</c:v>
                </c:pt>
                <c:pt idx="21">
                  <c:v>0.53999999999999915</c:v>
                </c:pt>
                <c:pt idx="22">
                  <c:v>0.13000000000000078</c:v>
                </c:pt>
                <c:pt idx="23">
                  <c:v>3.0000000000001137E-2</c:v>
                </c:pt>
                <c:pt idx="24">
                  <c:v>3.5</c:v>
                </c:pt>
                <c:pt idx="25">
                  <c:v>0.49000000000000021</c:v>
                </c:pt>
                <c:pt idx="26">
                  <c:v>0.63600000000000101</c:v>
                </c:pt>
                <c:pt idx="27">
                  <c:v>5</c:v>
                </c:pt>
                <c:pt idx="28">
                  <c:v>7.0000000000000284E-2</c:v>
                </c:pt>
                <c:pt idx="29">
                  <c:v>0.42000000000000037</c:v>
                </c:pt>
                <c:pt idx="30">
                  <c:v>1.7624999999999993</c:v>
                </c:pt>
                <c:pt idx="31">
                  <c:v>3.5</c:v>
                </c:pt>
              </c:numCache>
            </c:numRef>
          </c:val>
          <c:extLst>
            <c:ext xmlns:c16="http://schemas.microsoft.com/office/drawing/2014/chart" uri="{C3380CC4-5D6E-409C-BE32-E72D297353CC}">
              <c16:uniqueId val="{00000039-C725-4BAF-B79C-D24F961BBE7B}"/>
            </c:ext>
          </c:extLst>
        </c:ser>
        <c:dLbls>
          <c:showLegendKey val="0"/>
          <c:showVal val="0"/>
          <c:showCatName val="0"/>
          <c:showSerName val="0"/>
          <c:showPercent val="0"/>
          <c:showBubbleSize val="0"/>
        </c:dLbls>
        <c:gapWidth val="150"/>
        <c:overlap val="100"/>
        <c:axId val="1637524959"/>
        <c:axId val="1637531199"/>
      </c:barChart>
      <c:catAx>
        <c:axId val="1637524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37531199"/>
        <c:crosses val="autoZero"/>
        <c:auto val="1"/>
        <c:lblAlgn val="ctr"/>
        <c:lblOffset val="100"/>
        <c:noMultiLvlLbl val="0"/>
      </c:catAx>
      <c:valAx>
        <c:axId val="163753119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100" b="1" i="0" baseline="0">
                    <a:effectLst/>
                    <a:latin typeface="Arial" panose="020B0604020202020204" pitchFamily="34" charset="0"/>
                    <a:cs typeface="Arial" panose="020B0604020202020204" pitchFamily="34" charset="0"/>
                  </a:rPr>
                  <a:t>Alpha Acid Percentage/ Gram Dry Weight</a:t>
                </a:r>
                <a:endParaRPr lang="en-US" sz="1100">
                  <a:effectLst/>
                  <a:latin typeface="Arial" panose="020B0604020202020204" pitchFamily="34" charset="0"/>
                  <a:cs typeface="Arial" panose="020B0604020202020204" pitchFamily="34" charset="0"/>
                </a:endParaRPr>
              </a:p>
            </c:rich>
          </c:tx>
          <c:layout>
            <c:manualLayout>
              <c:xMode val="edge"/>
              <c:yMode val="edge"/>
              <c:x val="0.44739636467533339"/>
              <c:y val="0.9423487634979883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37524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baseline="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173807528226017"/>
          <c:y val="4.2895442359249331E-2"/>
          <c:w val="0.70611887236029025"/>
          <c:h val="0.85317809593633498"/>
        </c:manualLayout>
      </c:layout>
      <c:barChart>
        <c:barDir val="bar"/>
        <c:grouping val="stacked"/>
        <c:varyColors val="0"/>
        <c:ser>
          <c:idx val="0"/>
          <c:order val="0"/>
          <c:tx>
            <c:strRef>
              <c:f>Sheet2!$T$1</c:f>
              <c:strCache>
                <c:ptCount val="1"/>
                <c:pt idx="0">
                  <c:v>Beta Acid (low percent)</c:v>
                </c:pt>
              </c:strCache>
            </c:strRef>
          </c:tx>
          <c:spPr>
            <a:solidFill>
              <a:sysClr val="window" lastClr="FFFFFF"/>
            </a:solidFill>
            <a:ln>
              <a:noFill/>
            </a:ln>
            <a:effectLst/>
          </c:spPr>
          <c:invertIfNegative val="0"/>
          <c:cat>
            <c:strRef>
              <c:f>Sheet2!$P$2:$P$33</c:f>
              <c:strCache>
                <c:ptCount val="32"/>
                <c:pt idx="0">
                  <c:v>Sterling (NJ_1)</c:v>
                </c:pt>
                <c:pt idx="1">
                  <c:v>Sterling (Hop Union)</c:v>
                </c:pt>
                <c:pt idx="2">
                  <c:v>Perle (NJ_1)</c:v>
                </c:pt>
                <c:pt idx="3">
                  <c:v>Perle (Hop Union)</c:v>
                </c:pt>
                <c:pt idx="4">
                  <c:v>Magnum (NJ_2)</c:v>
                </c:pt>
                <c:pt idx="5">
                  <c:v>Magnum (Hop Union)</c:v>
                </c:pt>
                <c:pt idx="6">
                  <c:v>Wilamette (Snyder Plot)</c:v>
                </c:pt>
                <c:pt idx="7">
                  <c:v>Wilamette (Hop Union)</c:v>
                </c:pt>
                <c:pt idx="8">
                  <c:v>Ultra (NJ_1)</c:v>
                </c:pt>
                <c:pt idx="9">
                  <c:v>Ultra (Hop Union)</c:v>
                </c:pt>
                <c:pt idx="10">
                  <c:v>Sorachi Ace (Snyder Plot)</c:v>
                </c:pt>
                <c:pt idx="11">
                  <c:v>Sorachi Ace (Hop Union)</c:v>
                </c:pt>
                <c:pt idx="12">
                  <c:v>Nugget (NJ_3)</c:v>
                </c:pt>
                <c:pt idx="13">
                  <c:v>Nugget (NJ_3)</c:v>
                </c:pt>
                <c:pt idx="14">
                  <c:v>Nugget (NJ_1)</c:v>
                </c:pt>
                <c:pt idx="15">
                  <c:v>Nugget (NJ_2)</c:v>
                </c:pt>
                <c:pt idx="16">
                  <c:v>Nugget (Snyder Plot)</c:v>
                </c:pt>
                <c:pt idx="17">
                  <c:v>Nugget (Hop Union)</c:v>
                </c:pt>
                <c:pt idx="18">
                  <c:v>Newport (Snyder Plot)</c:v>
                </c:pt>
                <c:pt idx="19">
                  <c:v>Newport (Hop Union)</c:v>
                </c:pt>
                <c:pt idx="20">
                  <c:v>Chinook (NJ_3)</c:v>
                </c:pt>
                <c:pt idx="21">
                  <c:v>Chinook (NJ_2)</c:v>
                </c:pt>
                <c:pt idx="22">
                  <c:v>Chinook (NJ_2)</c:v>
                </c:pt>
                <c:pt idx="23">
                  <c:v>Chinook (Snyder Plot)</c:v>
                </c:pt>
                <c:pt idx="24">
                  <c:v>Chinook (Hop Union)</c:v>
                </c:pt>
                <c:pt idx="25">
                  <c:v>Centennial (NJ_1)</c:v>
                </c:pt>
                <c:pt idx="26">
                  <c:v>Centennial (Snyder Plot Avg.)</c:v>
                </c:pt>
                <c:pt idx="27">
                  <c:v>Centennial (Hop Union)</c:v>
                </c:pt>
                <c:pt idx="28">
                  <c:v>Cascade (NJ_3)</c:v>
                </c:pt>
                <c:pt idx="29">
                  <c:v>Cascade (NJ_3)</c:v>
                </c:pt>
                <c:pt idx="30">
                  <c:v>Cascade (Snyder Plot Avg.)</c:v>
                </c:pt>
                <c:pt idx="31">
                  <c:v>Cascade (Hop Union)</c:v>
                </c:pt>
              </c:strCache>
            </c:strRef>
          </c:cat>
          <c:val>
            <c:numRef>
              <c:f>Sheet2!$T$2:$T$33</c:f>
              <c:numCache>
                <c:formatCode>General</c:formatCode>
                <c:ptCount val="32"/>
                <c:pt idx="0">
                  <c:v>3.68</c:v>
                </c:pt>
                <c:pt idx="1">
                  <c:v>4.5</c:v>
                </c:pt>
                <c:pt idx="2">
                  <c:v>1.07</c:v>
                </c:pt>
                <c:pt idx="3">
                  <c:v>2.5</c:v>
                </c:pt>
                <c:pt idx="4">
                  <c:v>5.27</c:v>
                </c:pt>
                <c:pt idx="5">
                  <c:v>5.5</c:v>
                </c:pt>
                <c:pt idx="6">
                  <c:v>0.61799999999999999</c:v>
                </c:pt>
                <c:pt idx="7">
                  <c:v>3</c:v>
                </c:pt>
                <c:pt idx="8">
                  <c:v>2.48</c:v>
                </c:pt>
                <c:pt idx="9">
                  <c:v>3.8</c:v>
                </c:pt>
                <c:pt idx="10">
                  <c:v>7.53</c:v>
                </c:pt>
                <c:pt idx="11">
                  <c:v>6</c:v>
                </c:pt>
                <c:pt idx="12">
                  <c:v>2.76</c:v>
                </c:pt>
                <c:pt idx="13">
                  <c:v>2.97</c:v>
                </c:pt>
                <c:pt idx="14">
                  <c:v>0</c:v>
                </c:pt>
                <c:pt idx="15">
                  <c:v>2.46</c:v>
                </c:pt>
                <c:pt idx="16">
                  <c:v>0.79</c:v>
                </c:pt>
                <c:pt idx="17">
                  <c:v>3</c:v>
                </c:pt>
                <c:pt idx="18">
                  <c:v>4.75</c:v>
                </c:pt>
                <c:pt idx="19">
                  <c:v>5.5</c:v>
                </c:pt>
                <c:pt idx="20">
                  <c:v>2.15</c:v>
                </c:pt>
                <c:pt idx="21">
                  <c:v>2.0699999999999998</c:v>
                </c:pt>
                <c:pt idx="22">
                  <c:v>2.02</c:v>
                </c:pt>
                <c:pt idx="23">
                  <c:v>2.59</c:v>
                </c:pt>
                <c:pt idx="24">
                  <c:v>3</c:v>
                </c:pt>
                <c:pt idx="25">
                  <c:v>2.86</c:v>
                </c:pt>
                <c:pt idx="26">
                  <c:v>2.242</c:v>
                </c:pt>
                <c:pt idx="27">
                  <c:v>3.5</c:v>
                </c:pt>
                <c:pt idx="28">
                  <c:v>4.17</c:v>
                </c:pt>
                <c:pt idx="29">
                  <c:v>5.0199999999999996</c:v>
                </c:pt>
                <c:pt idx="30">
                  <c:v>3.83</c:v>
                </c:pt>
                <c:pt idx="31">
                  <c:v>6</c:v>
                </c:pt>
              </c:numCache>
            </c:numRef>
          </c:val>
          <c:extLst>
            <c:ext xmlns:c16="http://schemas.microsoft.com/office/drawing/2014/chart" uri="{C3380CC4-5D6E-409C-BE32-E72D297353CC}">
              <c16:uniqueId val="{00000000-4A3B-4A09-8C19-715C9C0E4762}"/>
            </c:ext>
          </c:extLst>
        </c:ser>
        <c:ser>
          <c:idx val="1"/>
          <c:order val="1"/>
          <c:tx>
            <c:strRef>
              <c:f>Sheet2!$V$1</c:f>
              <c:strCache>
                <c:ptCount val="1"/>
                <c:pt idx="0">
                  <c:v>Difference in Betas</c:v>
                </c:pt>
              </c:strCache>
            </c:strRef>
          </c:tx>
          <c:spPr>
            <a:solidFill>
              <a:schemeClr val="accent2"/>
            </a:solidFill>
            <a:ln>
              <a:noFill/>
            </a:ln>
            <a:effectLst/>
          </c:spPr>
          <c:invertIfNegative val="0"/>
          <c:dPt>
            <c:idx val="0"/>
            <c:invertIfNegative val="0"/>
            <c:bubble3D val="0"/>
            <c:spPr>
              <a:solidFill>
                <a:schemeClr val="accent6">
                  <a:lumMod val="50000"/>
                </a:schemeClr>
              </a:solidFill>
              <a:ln>
                <a:solidFill>
                  <a:schemeClr val="accent6">
                    <a:lumMod val="50000"/>
                  </a:schemeClr>
                </a:solidFill>
              </a:ln>
              <a:effectLst/>
            </c:spPr>
            <c:extLst>
              <c:ext xmlns:c16="http://schemas.microsoft.com/office/drawing/2014/chart" uri="{C3380CC4-5D6E-409C-BE32-E72D297353CC}">
                <c16:uniqueId val="{00000002-4A3B-4A09-8C19-715C9C0E4762}"/>
              </c:ext>
            </c:extLst>
          </c:dPt>
          <c:dPt>
            <c:idx val="1"/>
            <c:invertIfNegative val="0"/>
            <c:bubble3D val="0"/>
            <c:spPr>
              <a:solidFill>
                <a:schemeClr val="accent6">
                  <a:lumMod val="50000"/>
                </a:schemeClr>
              </a:solidFill>
              <a:ln>
                <a:solidFill>
                  <a:schemeClr val="accent6">
                    <a:lumMod val="50000"/>
                  </a:schemeClr>
                </a:solidFill>
              </a:ln>
              <a:effectLst/>
            </c:spPr>
            <c:extLst>
              <c:ext xmlns:c16="http://schemas.microsoft.com/office/drawing/2014/chart" uri="{C3380CC4-5D6E-409C-BE32-E72D297353CC}">
                <c16:uniqueId val="{00000004-4A3B-4A09-8C19-715C9C0E4762}"/>
              </c:ext>
            </c:extLst>
          </c:dPt>
          <c:dPt>
            <c:idx val="2"/>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6-4A3B-4A09-8C19-715C9C0E4762}"/>
              </c:ext>
            </c:extLst>
          </c:dPt>
          <c:dPt>
            <c:idx val="3"/>
            <c:invertIfNegative val="0"/>
            <c:bubble3D val="0"/>
            <c:spPr>
              <a:solidFill>
                <a:schemeClr val="accent1">
                  <a:lumMod val="75000"/>
                </a:schemeClr>
              </a:solidFill>
              <a:ln>
                <a:solidFill>
                  <a:sysClr val="windowText" lastClr="000000"/>
                </a:solidFill>
              </a:ln>
              <a:effectLst/>
            </c:spPr>
            <c:extLst>
              <c:ext xmlns:c16="http://schemas.microsoft.com/office/drawing/2014/chart" uri="{C3380CC4-5D6E-409C-BE32-E72D297353CC}">
                <c16:uniqueId val="{00000008-4A3B-4A09-8C19-715C9C0E4762}"/>
              </c:ext>
            </c:extLst>
          </c:dPt>
          <c:dPt>
            <c:idx val="4"/>
            <c:invertIfNegative val="0"/>
            <c:bubble3D val="0"/>
            <c:spPr>
              <a:solidFill>
                <a:srgbClr val="CC0099"/>
              </a:solidFill>
              <a:ln>
                <a:solidFill>
                  <a:srgbClr val="CC0099"/>
                </a:solidFill>
              </a:ln>
              <a:effectLst/>
            </c:spPr>
            <c:extLst>
              <c:ext xmlns:c16="http://schemas.microsoft.com/office/drawing/2014/chart" uri="{C3380CC4-5D6E-409C-BE32-E72D297353CC}">
                <c16:uniqueId val="{0000000A-4A3B-4A09-8C19-715C9C0E4762}"/>
              </c:ext>
            </c:extLst>
          </c:dPt>
          <c:dPt>
            <c:idx val="5"/>
            <c:invertIfNegative val="0"/>
            <c:bubble3D val="0"/>
            <c:spPr>
              <a:solidFill>
                <a:srgbClr val="CC0099"/>
              </a:solidFill>
              <a:ln>
                <a:solidFill>
                  <a:sysClr val="windowText" lastClr="000000"/>
                </a:solidFill>
              </a:ln>
              <a:effectLst/>
            </c:spPr>
            <c:extLst>
              <c:ext xmlns:c16="http://schemas.microsoft.com/office/drawing/2014/chart" uri="{C3380CC4-5D6E-409C-BE32-E72D297353CC}">
                <c16:uniqueId val="{0000000C-4A3B-4A09-8C19-715C9C0E4762}"/>
              </c:ext>
            </c:extLst>
          </c:dPt>
          <c:dPt>
            <c:idx val="6"/>
            <c:invertIfNegative val="0"/>
            <c:bubble3D val="0"/>
            <c:spPr>
              <a:solidFill>
                <a:srgbClr val="FF3300"/>
              </a:solidFill>
              <a:ln>
                <a:solidFill>
                  <a:srgbClr val="FF3300"/>
                </a:solidFill>
              </a:ln>
              <a:effectLst/>
            </c:spPr>
            <c:extLst>
              <c:ext xmlns:c16="http://schemas.microsoft.com/office/drawing/2014/chart" uri="{C3380CC4-5D6E-409C-BE32-E72D297353CC}">
                <c16:uniqueId val="{0000000E-4A3B-4A09-8C19-715C9C0E4762}"/>
              </c:ext>
            </c:extLst>
          </c:dPt>
          <c:dPt>
            <c:idx val="7"/>
            <c:invertIfNegative val="0"/>
            <c:bubble3D val="0"/>
            <c:spPr>
              <a:solidFill>
                <a:srgbClr val="FF3300"/>
              </a:solidFill>
              <a:ln>
                <a:solidFill>
                  <a:sysClr val="windowText" lastClr="000000"/>
                </a:solidFill>
              </a:ln>
              <a:effectLst/>
            </c:spPr>
            <c:extLst>
              <c:ext xmlns:c16="http://schemas.microsoft.com/office/drawing/2014/chart" uri="{C3380CC4-5D6E-409C-BE32-E72D297353CC}">
                <c16:uniqueId val="{00000010-4A3B-4A09-8C19-715C9C0E4762}"/>
              </c:ext>
            </c:extLst>
          </c:dPt>
          <c:dPt>
            <c:idx val="8"/>
            <c:invertIfNegative val="0"/>
            <c:bubble3D val="0"/>
            <c:spPr>
              <a:solidFill>
                <a:schemeClr val="accent2"/>
              </a:solidFill>
              <a:ln>
                <a:solidFill>
                  <a:schemeClr val="accent4"/>
                </a:solidFill>
              </a:ln>
              <a:effectLst/>
            </c:spPr>
            <c:extLst>
              <c:ext xmlns:c16="http://schemas.microsoft.com/office/drawing/2014/chart" uri="{C3380CC4-5D6E-409C-BE32-E72D297353CC}">
                <c16:uniqueId val="{00000012-4A3B-4A09-8C19-715C9C0E4762}"/>
              </c:ext>
            </c:extLst>
          </c:dPt>
          <c:dPt>
            <c:idx val="9"/>
            <c:invertIfNegative val="0"/>
            <c:bubble3D val="0"/>
            <c:spPr>
              <a:solidFill>
                <a:schemeClr val="accent4"/>
              </a:solidFill>
              <a:ln>
                <a:solidFill>
                  <a:schemeClr val="tx1"/>
                </a:solidFill>
              </a:ln>
              <a:effectLst/>
            </c:spPr>
            <c:extLst>
              <c:ext xmlns:c16="http://schemas.microsoft.com/office/drawing/2014/chart" uri="{C3380CC4-5D6E-409C-BE32-E72D297353CC}">
                <c16:uniqueId val="{00000014-4A3B-4A09-8C19-715C9C0E4762}"/>
              </c:ext>
            </c:extLst>
          </c:dPt>
          <c:dPt>
            <c:idx val="10"/>
            <c:invertIfNegative val="0"/>
            <c:bubble3D val="0"/>
            <c:spPr>
              <a:solidFill>
                <a:srgbClr val="FFFF00"/>
              </a:solidFill>
              <a:ln>
                <a:solidFill>
                  <a:srgbClr val="FFFF00"/>
                </a:solidFill>
              </a:ln>
              <a:effectLst/>
            </c:spPr>
            <c:extLst>
              <c:ext xmlns:c16="http://schemas.microsoft.com/office/drawing/2014/chart" uri="{C3380CC4-5D6E-409C-BE32-E72D297353CC}">
                <c16:uniqueId val="{00000016-4A3B-4A09-8C19-715C9C0E4762}"/>
              </c:ext>
            </c:extLst>
          </c:dPt>
          <c:dPt>
            <c:idx val="11"/>
            <c:invertIfNegative val="0"/>
            <c:bubble3D val="0"/>
            <c:spPr>
              <a:solidFill>
                <a:srgbClr val="FFFF00"/>
              </a:solidFill>
              <a:ln>
                <a:solidFill>
                  <a:sysClr val="windowText" lastClr="000000"/>
                </a:solidFill>
              </a:ln>
              <a:effectLst/>
            </c:spPr>
            <c:extLst>
              <c:ext xmlns:c16="http://schemas.microsoft.com/office/drawing/2014/chart" uri="{C3380CC4-5D6E-409C-BE32-E72D297353CC}">
                <c16:uniqueId val="{00000018-4A3B-4A09-8C19-715C9C0E4762}"/>
              </c:ext>
            </c:extLst>
          </c:dPt>
          <c:dPt>
            <c:idx val="12"/>
            <c:invertIfNegative val="0"/>
            <c:bubble3D val="0"/>
            <c:spPr>
              <a:solidFill>
                <a:srgbClr val="00B050"/>
              </a:solidFill>
              <a:ln>
                <a:solidFill>
                  <a:srgbClr val="00B050"/>
                </a:solidFill>
              </a:ln>
              <a:effectLst/>
            </c:spPr>
            <c:extLst>
              <c:ext xmlns:c16="http://schemas.microsoft.com/office/drawing/2014/chart" uri="{C3380CC4-5D6E-409C-BE32-E72D297353CC}">
                <c16:uniqueId val="{0000001A-4A3B-4A09-8C19-715C9C0E4762}"/>
              </c:ext>
            </c:extLst>
          </c:dPt>
          <c:dPt>
            <c:idx val="13"/>
            <c:invertIfNegative val="0"/>
            <c:bubble3D val="0"/>
            <c:spPr>
              <a:solidFill>
                <a:srgbClr val="00B050"/>
              </a:solidFill>
              <a:ln>
                <a:solidFill>
                  <a:srgbClr val="00B050"/>
                </a:solidFill>
              </a:ln>
              <a:effectLst/>
            </c:spPr>
            <c:extLst>
              <c:ext xmlns:c16="http://schemas.microsoft.com/office/drawing/2014/chart" uri="{C3380CC4-5D6E-409C-BE32-E72D297353CC}">
                <c16:uniqueId val="{0000001C-4A3B-4A09-8C19-715C9C0E4762}"/>
              </c:ext>
            </c:extLst>
          </c:dPt>
          <c:dPt>
            <c:idx val="14"/>
            <c:invertIfNegative val="0"/>
            <c:bubble3D val="0"/>
            <c:spPr>
              <a:solidFill>
                <a:srgbClr val="00B050"/>
              </a:solidFill>
              <a:ln>
                <a:solidFill>
                  <a:srgbClr val="00B050"/>
                </a:solidFill>
              </a:ln>
              <a:effectLst/>
            </c:spPr>
            <c:extLst>
              <c:ext xmlns:c16="http://schemas.microsoft.com/office/drawing/2014/chart" uri="{C3380CC4-5D6E-409C-BE32-E72D297353CC}">
                <c16:uniqueId val="{0000001E-4A3B-4A09-8C19-715C9C0E4762}"/>
              </c:ext>
            </c:extLst>
          </c:dPt>
          <c:dPt>
            <c:idx val="15"/>
            <c:invertIfNegative val="0"/>
            <c:bubble3D val="0"/>
            <c:spPr>
              <a:solidFill>
                <a:srgbClr val="00B050"/>
              </a:solidFill>
              <a:ln>
                <a:noFill/>
              </a:ln>
              <a:effectLst/>
            </c:spPr>
            <c:extLst>
              <c:ext xmlns:c16="http://schemas.microsoft.com/office/drawing/2014/chart" uri="{C3380CC4-5D6E-409C-BE32-E72D297353CC}">
                <c16:uniqueId val="{00000020-4A3B-4A09-8C19-715C9C0E4762}"/>
              </c:ext>
            </c:extLst>
          </c:dPt>
          <c:dPt>
            <c:idx val="16"/>
            <c:invertIfNegative val="0"/>
            <c:bubble3D val="0"/>
            <c:spPr>
              <a:solidFill>
                <a:srgbClr val="00B050"/>
              </a:solidFill>
              <a:ln>
                <a:noFill/>
              </a:ln>
              <a:effectLst/>
            </c:spPr>
            <c:extLst>
              <c:ext xmlns:c16="http://schemas.microsoft.com/office/drawing/2014/chart" uri="{C3380CC4-5D6E-409C-BE32-E72D297353CC}">
                <c16:uniqueId val="{00000022-4A3B-4A09-8C19-715C9C0E4762}"/>
              </c:ext>
            </c:extLst>
          </c:dPt>
          <c:dPt>
            <c:idx val="17"/>
            <c:invertIfNegative val="0"/>
            <c:bubble3D val="0"/>
            <c:spPr>
              <a:solidFill>
                <a:srgbClr val="00B050"/>
              </a:solidFill>
              <a:ln>
                <a:solidFill>
                  <a:sysClr val="windowText" lastClr="000000"/>
                </a:solidFill>
              </a:ln>
              <a:effectLst/>
            </c:spPr>
            <c:extLst>
              <c:ext xmlns:c16="http://schemas.microsoft.com/office/drawing/2014/chart" uri="{C3380CC4-5D6E-409C-BE32-E72D297353CC}">
                <c16:uniqueId val="{00000024-4A3B-4A09-8C19-715C9C0E4762}"/>
              </c:ext>
            </c:extLst>
          </c:dPt>
          <c:dPt>
            <c:idx val="18"/>
            <c:invertIfNegative val="0"/>
            <c:bubble3D val="0"/>
            <c:spPr>
              <a:solidFill>
                <a:srgbClr val="0070C0"/>
              </a:solidFill>
              <a:ln>
                <a:solidFill>
                  <a:srgbClr val="0070C0"/>
                </a:solidFill>
              </a:ln>
              <a:effectLst/>
            </c:spPr>
            <c:extLst>
              <c:ext xmlns:c16="http://schemas.microsoft.com/office/drawing/2014/chart" uri="{C3380CC4-5D6E-409C-BE32-E72D297353CC}">
                <c16:uniqueId val="{00000026-4A3B-4A09-8C19-715C9C0E4762}"/>
              </c:ext>
            </c:extLst>
          </c:dPt>
          <c:dPt>
            <c:idx val="19"/>
            <c:invertIfNegative val="0"/>
            <c:bubble3D val="0"/>
            <c:spPr>
              <a:solidFill>
                <a:srgbClr val="0070C0"/>
              </a:solidFill>
              <a:ln>
                <a:solidFill>
                  <a:sysClr val="windowText" lastClr="000000"/>
                </a:solidFill>
              </a:ln>
              <a:effectLst/>
            </c:spPr>
            <c:extLst>
              <c:ext xmlns:c16="http://schemas.microsoft.com/office/drawing/2014/chart" uri="{C3380CC4-5D6E-409C-BE32-E72D297353CC}">
                <c16:uniqueId val="{00000028-4A3B-4A09-8C19-715C9C0E4762}"/>
              </c:ext>
            </c:extLst>
          </c:dPt>
          <c:dPt>
            <c:idx val="20"/>
            <c:invertIfNegative val="0"/>
            <c:bubble3D val="0"/>
            <c:spPr>
              <a:solidFill>
                <a:srgbClr val="7030A0"/>
              </a:solidFill>
              <a:ln>
                <a:solidFill>
                  <a:srgbClr val="7030A0"/>
                </a:solidFill>
              </a:ln>
              <a:effectLst/>
            </c:spPr>
            <c:extLst>
              <c:ext xmlns:c16="http://schemas.microsoft.com/office/drawing/2014/chart" uri="{C3380CC4-5D6E-409C-BE32-E72D297353CC}">
                <c16:uniqueId val="{0000002A-4A3B-4A09-8C19-715C9C0E4762}"/>
              </c:ext>
            </c:extLst>
          </c:dPt>
          <c:dPt>
            <c:idx val="21"/>
            <c:invertIfNegative val="0"/>
            <c:bubble3D val="0"/>
            <c:spPr>
              <a:solidFill>
                <a:srgbClr val="7030A0"/>
              </a:solidFill>
              <a:ln>
                <a:solidFill>
                  <a:srgbClr val="7030A0"/>
                </a:solidFill>
              </a:ln>
              <a:effectLst/>
            </c:spPr>
            <c:extLst>
              <c:ext xmlns:c16="http://schemas.microsoft.com/office/drawing/2014/chart" uri="{C3380CC4-5D6E-409C-BE32-E72D297353CC}">
                <c16:uniqueId val="{0000002C-4A3B-4A09-8C19-715C9C0E4762}"/>
              </c:ext>
            </c:extLst>
          </c:dPt>
          <c:dPt>
            <c:idx val="22"/>
            <c:invertIfNegative val="0"/>
            <c:bubble3D val="0"/>
            <c:spPr>
              <a:solidFill>
                <a:srgbClr val="7030A0"/>
              </a:solidFill>
              <a:ln>
                <a:solidFill>
                  <a:srgbClr val="7030A0"/>
                </a:solidFill>
              </a:ln>
              <a:effectLst/>
            </c:spPr>
            <c:extLst>
              <c:ext xmlns:c16="http://schemas.microsoft.com/office/drawing/2014/chart" uri="{C3380CC4-5D6E-409C-BE32-E72D297353CC}">
                <c16:uniqueId val="{0000002E-4A3B-4A09-8C19-715C9C0E4762}"/>
              </c:ext>
            </c:extLst>
          </c:dPt>
          <c:dPt>
            <c:idx val="24"/>
            <c:invertIfNegative val="0"/>
            <c:bubble3D val="0"/>
            <c:spPr>
              <a:solidFill>
                <a:srgbClr val="7030A0"/>
              </a:solidFill>
              <a:ln>
                <a:solidFill>
                  <a:sysClr val="windowText" lastClr="000000"/>
                </a:solidFill>
              </a:ln>
              <a:effectLst/>
            </c:spPr>
            <c:extLst>
              <c:ext xmlns:c16="http://schemas.microsoft.com/office/drawing/2014/chart" uri="{C3380CC4-5D6E-409C-BE32-E72D297353CC}">
                <c16:uniqueId val="{00000030-4A3B-4A09-8C19-715C9C0E4762}"/>
              </c:ext>
            </c:extLst>
          </c:dPt>
          <c:dPt>
            <c:idx val="25"/>
            <c:invertIfNegative val="0"/>
            <c:bubble3D val="0"/>
            <c:spPr>
              <a:solidFill>
                <a:srgbClr val="FF0000"/>
              </a:solidFill>
              <a:ln>
                <a:noFill/>
              </a:ln>
              <a:effectLst/>
            </c:spPr>
            <c:extLst>
              <c:ext xmlns:c16="http://schemas.microsoft.com/office/drawing/2014/chart" uri="{C3380CC4-5D6E-409C-BE32-E72D297353CC}">
                <c16:uniqueId val="{00000032-4A3B-4A09-8C19-715C9C0E4762}"/>
              </c:ext>
            </c:extLst>
          </c:dPt>
          <c:dPt>
            <c:idx val="26"/>
            <c:invertIfNegative val="0"/>
            <c:bubble3D val="0"/>
            <c:spPr>
              <a:solidFill>
                <a:srgbClr val="FF0000"/>
              </a:solidFill>
              <a:ln>
                <a:noFill/>
              </a:ln>
              <a:effectLst/>
            </c:spPr>
            <c:extLst>
              <c:ext xmlns:c16="http://schemas.microsoft.com/office/drawing/2014/chart" uri="{C3380CC4-5D6E-409C-BE32-E72D297353CC}">
                <c16:uniqueId val="{00000034-4A3B-4A09-8C19-715C9C0E4762}"/>
              </c:ext>
            </c:extLst>
          </c:dPt>
          <c:dPt>
            <c:idx val="27"/>
            <c:invertIfNegative val="0"/>
            <c:bubble3D val="0"/>
            <c:spPr>
              <a:solidFill>
                <a:srgbClr val="FF0000"/>
              </a:solidFill>
              <a:ln>
                <a:solidFill>
                  <a:sysClr val="windowText" lastClr="000000"/>
                </a:solidFill>
              </a:ln>
              <a:effectLst/>
            </c:spPr>
            <c:extLst>
              <c:ext xmlns:c16="http://schemas.microsoft.com/office/drawing/2014/chart" uri="{C3380CC4-5D6E-409C-BE32-E72D297353CC}">
                <c16:uniqueId val="{00000036-4A3B-4A09-8C19-715C9C0E4762}"/>
              </c:ext>
            </c:extLst>
          </c:dPt>
          <c:dPt>
            <c:idx val="31"/>
            <c:invertIfNegative val="0"/>
            <c:bubble3D val="0"/>
            <c:spPr>
              <a:solidFill>
                <a:schemeClr val="accent2"/>
              </a:solidFill>
              <a:ln>
                <a:solidFill>
                  <a:sysClr val="windowText" lastClr="000000"/>
                </a:solidFill>
              </a:ln>
              <a:effectLst/>
            </c:spPr>
            <c:extLst>
              <c:ext xmlns:c16="http://schemas.microsoft.com/office/drawing/2014/chart" uri="{C3380CC4-5D6E-409C-BE32-E72D297353CC}">
                <c16:uniqueId val="{00000038-4A3B-4A09-8C19-715C9C0E4762}"/>
              </c:ext>
            </c:extLst>
          </c:dPt>
          <c:val>
            <c:numRef>
              <c:f>Sheet2!$V$2:$V$33</c:f>
              <c:numCache>
                <c:formatCode>General</c:formatCode>
                <c:ptCount val="32"/>
                <c:pt idx="0">
                  <c:v>0.29999999999999982</c:v>
                </c:pt>
                <c:pt idx="1">
                  <c:v>1.5</c:v>
                </c:pt>
                <c:pt idx="2">
                  <c:v>0.15999999999999992</c:v>
                </c:pt>
                <c:pt idx="3">
                  <c:v>2</c:v>
                </c:pt>
                <c:pt idx="4">
                  <c:v>0.52000000000000046</c:v>
                </c:pt>
                <c:pt idx="5">
                  <c:v>2.5</c:v>
                </c:pt>
                <c:pt idx="6">
                  <c:v>2.0380000000000003</c:v>
                </c:pt>
                <c:pt idx="7">
                  <c:v>1.5</c:v>
                </c:pt>
                <c:pt idx="8">
                  <c:v>4.9999999999999822E-2</c:v>
                </c:pt>
                <c:pt idx="9">
                  <c:v>0.20000000000000018</c:v>
                </c:pt>
                <c:pt idx="10">
                  <c:v>0.72999999999999954</c:v>
                </c:pt>
                <c:pt idx="11">
                  <c:v>1.5</c:v>
                </c:pt>
                <c:pt idx="12">
                  <c:v>8.0000000000000071E-2</c:v>
                </c:pt>
                <c:pt idx="13">
                  <c:v>8.9999999999999858E-2</c:v>
                </c:pt>
                <c:pt idx="14">
                  <c:v>4.43</c:v>
                </c:pt>
                <c:pt idx="15">
                  <c:v>4.0000000000000036E-2</c:v>
                </c:pt>
                <c:pt idx="16">
                  <c:v>1.6033333333333331</c:v>
                </c:pt>
                <c:pt idx="17">
                  <c:v>2</c:v>
                </c:pt>
                <c:pt idx="18">
                  <c:v>0.12999999999999989</c:v>
                </c:pt>
                <c:pt idx="19">
                  <c:v>1</c:v>
                </c:pt>
                <c:pt idx="20">
                  <c:v>6.0000000000000053E-2</c:v>
                </c:pt>
                <c:pt idx="21">
                  <c:v>8.0000000000000071E-2</c:v>
                </c:pt>
                <c:pt idx="22">
                  <c:v>2.9999999999999805E-2</c:v>
                </c:pt>
                <c:pt idx="23">
                  <c:v>0</c:v>
                </c:pt>
                <c:pt idx="24">
                  <c:v>1</c:v>
                </c:pt>
                <c:pt idx="25">
                  <c:v>0.25</c:v>
                </c:pt>
                <c:pt idx="26">
                  <c:v>0.21799999999999997</c:v>
                </c:pt>
                <c:pt idx="27">
                  <c:v>2</c:v>
                </c:pt>
                <c:pt idx="28">
                  <c:v>0.16999999999999993</c:v>
                </c:pt>
                <c:pt idx="29">
                  <c:v>0.47000000000000064</c:v>
                </c:pt>
                <c:pt idx="30">
                  <c:v>2.3375000000000004</c:v>
                </c:pt>
                <c:pt idx="31">
                  <c:v>1.5</c:v>
                </c:pt>
              </c:numCache>
            </c:numRef>
          </c:val>
          <c:extLst>
            <c:ext xmlns:c16="http://schemas.microsoft.com/office/drawing/2014/chart" uri="{C3380CC4-5D6E-409C-BE32-E72D297353CC}">
              <c16:uniqueId val="{00000039-4A3B-4A09-8C19-715C9C0E4762}"/>
            </c:ext>
          </c:extLst>
        </c:ser>
        <c:dLbls>
          <c:showLegendKey val="0"/>
          <c:showVal val="0"/>
          <c:showCatName val="0"/>
          <c:showSerName val="0"/>
          <c:showPercent val="0"/>
          <c:showBubbleSize val="0"/>
        </c:dLbls>
        <c:gapWidth val="150"/>
        <c:overlap val="100"/>
        <c:axId val="1637524959"/>
        <c:axId val="1637531199"/>
      </c:barChart>
      <c:catAx>
        <c:axId val="1637524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37531199"/>
        <c:crosses val="autoZero"/>
        <c:auto val="1"/>
        <c:lblAlgn val="ctr"/>
        <c:lblOffset val="100"/>
        <c:noMultiLvlLbl val="0"/>
      </c:catAx>
      <c:valAx>
        <c:axId val="163753119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200" b="1" i="0" baseline="0">
                    <a:solidFill>
                      <a:sysClr val="windowText" lastClr="000000"/>
                    </a:solidFill>
                    <a:effectLst/>
                    <a:latin typeface="Arial" panose="020B0604020202020204" pitchFamily="34" charset="0"/>
                    <a:cs typeface="Arial" panose="020B0604020202020204" pitchFamily="34" charset="0"/>
                  </a:rPr>
                  <a:t>Beta Acid Percentage/Gram Dry Weight</a:t>
                </a:r>
                <a:endParaRPr lang="en-US" sz="12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45779407261592309"/>
              <c:y val="0.94543569805613126"/>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37524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1</cp:revision>
  <dcterms:created xsi:type="dcterms:W3CDTF">2017-02-17T16:15:00Z</dcterms:created>
  <dcterms:modified xsi:type="dcterms:W3CDTF">2017-02-17T16:54:00Z</dcterms:modified>
</cp:coreProperties>
</file>